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20702C" w14:textId="77777777" w:rsidR="001F1278" w:rsidRDefault="00000000">
      <w:pPr>
        <w:ind w:left="284" w:hanging="284"/>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PROJETO BÁSICO</w:t>
      </w:r>
    </w:p>
    <w:p w14:paraId="167C1158" w14:textId="77777777" w:rsidR="001F1278" w:rsidRDefault="001F1278">
      <w:pPr>
        <w:ind w:left="284" w:hanging="284"/>
        <w:jc w:val="center"/>
        <w:rPr>
          <w:rFonts w:ascii="Times New Roman" w:eastAsia="Times New Roman" w:hAnsi="Times New Roman" w:cs="Times New Roman"/>
          <w:b/>
          <w:bCs/>
          <w:sz w:val="32"/>
          <w:szCs w:val="32"/>
        </w:rPr>
      </w:pPr>
    </w:p>
    <w:p w14:paraId="30B209C7" w14:textId="77777777" w:rsidR="001F1278" w:rsidRDefault="00000000">
      <w:pPr>
        <w:numPr>
          <w:ilvl w:val="0"/>
          <w:numId w:val="1"/>
        </w:numPr>
        <w:pBdr>
          <w:top w:val="nil"/>
          <w:left w:val="nil"/>
          <w:bottom w:val="nil"/>
          <w:right w:val="nil"/>
          <w:between w:val="nil"/>
        </w:pBdr>
        <w:spacing w:line="360" w:lineRule="auto"/>
        <w:ind w:left="284" w:hanging="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JUSTIFICATIVA DA CONTRATAÇÃO</w:t>
      </w:r>
    </w:p>
    <w:p w14:paraId="392DE299"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demanda para a reconstrução da Escola Municipal João Torres foi formalizada por meio de um Documento de Oficialização da Demanda (DOD), que serve para explicitar a necessidade de uma contratação. Este DOD foi corroborado por documentos oficiais, como os Ofícios nº 81/2023, 104/2024, 120/2024, 117/2024, 119/2024 e 05/2025. O DOD foi elaborado pela equipe técnica do Fundo Municipal de Educação (FME) para formalizar a necessidade de contratar uma empresa especializada em construção civil.</w:t>
      </w:r>
    </w:p>
    <w:p w14:paraId="305AD01D"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O objetivo é solucionar problemas graves, como: </w:t>
      </w:r>
    </w:p>
    <w:p w14:paraId="26EEBBC8" w14:textId="77777777" w:rsidR="001F1278" w:rsidRDefault="00000000">
      <w:pPr>
        <w:numPr>
          <w:ilvl w:val="0"/>
          <w:numId w:val="4"/>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DEFICIÊNCIAS ESTRUTURAIS E DE INFRAESTRUTURA:</w:t>
      </w:r>
      <w:r>
        <w:rPr>
          <w:rFonts w:ascii="Times New Roman" w:eastAsia="Times New Roman" w:hAnsi="Times New Roman" w:cs="Times New Roman"/>
          <w:color w:val="000000"/>
          <w:sz w:val="24"/>
          <w:szCs w:val="24"/>
        </w:rPr>
        <w:t xml:space="preserve"> A estrutura atual da escola compromete a segurança física do ambiente, o desenvolvimento das atividades pedagógicas e o bem-estar da comunidade escolar.</w:t>
      </w:r>
    </w:p>
    <w:p w14:paraId="2FA6B9EE" w14:textId="77777777" w:rsidR="001F1278" w:rsidRDefault="00000000">
      <w:pPr>
        <w:numPr>
          <w:ilvl w:val="0"/>
          <w:numId w:val="4"/>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ALAGAMENTOS:</w:t>
      </w:r>
      <w:r>
        <w:rPr>
          <w:rFonts w:ascii="Times New Roman" w:eastAsia="Times New Roman" w:hAnsi="Times New Roman" w:cs="Times New Roman"/>
          <w:color w:val="000000"/>
          <w:sz w:val="24"/>
          <w:szCs w:val="24"/>
        </w:rPr>
        <w:t xml:space="preserve"> A escola está localizada abaixo do nível da rua, o que causa alagamentos em períodos de chuvas intensas. A solução para este problema é a terraplanagem de 60 cm acima do nível do mar.</w:t>
      </w:r>
    </w:p>
    <w:p w14:paraId="2A37A3DF" w14:textId="77777777" w:rsidR="001F1278" w:rsidRDefault="00000000">
      <w:pPr>
        <w:numPr>
          <w:ilvl w:val="0"/>
          <w:numId w:val="4"/>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CAPACIDADE DE ATENDIMENTO:</w:t>
      </w:r>
      <w:r>
        <w:rPr>
          <w:rFonts w:ascii="Times New Roman" w:eastAsia="Times New Roman" w:hAnsi="Times New Roman" w:cs="Times New Roman"/>
          <w:color w:val="000000"/>
          <w:sz w:val="24"/>
          <w:szCs w:val="24"/>
        </w:rPr>
        <w:t xml:space="preserve"> A estrutura atual é considerada inferior ao ideal e não suporta o crescimento projetado do número de alunos, que tem uma taxa média anual de 18,5%. A previsão é que a quantidade de estudantes passe de 549 em 2025 para 1.283 em 2029.</w:t>
      </w:r>
    </w:p>
    <w:p w14:paraId="339675A2"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Para resolver essas questões de forma abrangente, a Prefeitura optou pela demolição total do colégio atual, seguida pela terraplanagem e a construção de uma nova escola no mesmo terreno. O novo projeto prevê uma infraestrutura moderna, com mais salas de aula e espaços adequados para garantir a qualidade do ensino e a segurança de todos.</w:t>
      </w:r>
      <w:r>
        <w:rPr>
          <w:rFonts w:ascii="Times New Roman" w:eastAsia="Times New Roman" w:hAnsi="Times New Roman" w:cs="Times New Roman"/>
          <w:b/>
          <w:bCs/>
          <w:color w:val="000000"/>
          <w:sz w:val="24"/>
          <w:szCs w:val="24"/>
        </w:rPr>
        <w:t xml:space="preserve"> </w:t>
      </w:r>
    </w:p>
    <w:p w14:paraId="2E2B969A" w14:textId="375FD550"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Plano diretor - Zona Residencial 2 (ZR-2)</w:t>
      </w:r>
      <w:r>
        <w:rPr>
          <w:rFonts w:ascii="Times New Roman" w:eastAsia="Times New Roman" w:hAnsi="Times New Roman" w:cs="Times New Roman"/>
          <w:color w:val="000000"/>
          <w:sz w:val="24"/>
          <w:szCs w:val="24"/>
        </w:rPr>
        <w:t>, confirmamos que a construção do novo Colégio Municipal João Torres está em total conformidade com a Lei Municipal nº 2.483/2023.</w:t>
      </w:r>
      <w:r w:rsidR="00DA3AF3">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A Lei de Uso e Ocupação do Solo do município estabelece as zonas urbanísticas e seus respectivos usos. A ZR-2 é definida como uma "área urbana consolidada do Bairro da Prainha" e permite </w:t>
      </w:r>
      <w:r>
        <w:rPr>
          <w:rFonts w:ascii="Times New Roman" w:eastAsia="Times New Roman" w:hAnsi="Times New Roman" w:cs="Times New Roman"/>
          <w:b/>
          <w:bCs/>
          <w:color w:val="000000"/>
          <w:sz w:val="24"/>
          <w:szCs w:val="24"/>
        </w:rPr>
        <w:t>Uso Institucional Tipo A</w:t>
      </w:r>
      <w:r>
        <w:rPr>
          <w:rFonts w:ascii="Times New Roman" w:eastAsia="Times New Roman" w:hAnsi="Times New Roman" w:cs="Times New Roman"/>
          <w:color w:val="000000"/>
          <w:sz w:val="24"/>
          <w:szCs w:val="24"/>
        </w:rPr>
        <w:t xml:space="preserve">, que inclui escolas. Portanto, a construção de um novo colégio nessa área está em conformidade com as permissões da zona. </w:t>
      </w:r>
    </w:p>
    <w:p w14:paraId="593D681D"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lastRenderedPageBreak/>
        <w:t>Além da adequação do uso, o projeto atende diretamente aos objetivos e diretrizes do Plano Diretor:</w:t>
      </w:r>
    </w:p>
    <w:p w14:paraId="23CFF608"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Reorganização e melhoria das condições urbanas:</w:t>
      </w:r>
      <w:r>
        <w:rPr>
          <w:rFonts w:ascii="Times New Roman" w:eastAsia="Times New Roman" w:hAnsi="Times New Roman" w:cs="Times New Roman"/>
          <w:color w:val="000000"/>
          <w:sz w:val="24"/>
          <w:szCs w:val="24"/>
        </w:rPr>
        <w:t xml:space="preserve"> A nova escola, com sua infraestrutura moderna, contribui para a revitalização e adequação das vias e espaços existentes.</w:t>
      </w:r>
    </w:p>
    <w:p w14:paraId="7C1E4E0B"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Melhoria da qualidade de vida:</w:t>
      </w:r>
      <w:r>
        <w:rPr>
          <w:rFonts w:ascii="Times New Roman" w:eastAsia="Times New Roman" w:hAnsi="Times New Roman" w:cs="Times New Roman"/>
          <w:color w:val="000000"/>
          <w:sz w:val="24"/>
          <w:szCs w:val="24"/>
        </w:rPr>
        <w:t xml:space="preserve"> O projeto visa assegurar o acesso a serviços educacionais essenciais, com foco em segurança, modernização e inclusão.</w:t>
      </w:r>
    </w:p>
    <w:p w14:paraId="31A50497"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Conformidade com os parâmetros urbanísticos:</w:t>
      </w:r>
      <w:r>
        <w:rPr>
          <w:rFonts w:ascii="Times New Roman" w:eastAsia="Times New Roman" w:hAnsi="Times New Roman" w:cs="Times New Roman"/>
          <w:color w:val="000000"/>
          <w:sz w:val="24"/>
          <w:szCs w:val="24"/>
        </w:rPr>
        <w:t xml:space="preserve"> O projeto respeitará as especificações de ZR-2 para área mínima do lote, taxa de ocupação, afastamentos e altura máxima, que permite até 4 pavimentos mais cobertura. </w:t>
      </w:r>
    </w:p>
    <w:p w14:paraId="22ADF3CB" w14:textId="77777777" w:rsidR="001F1278" w:rsidRDefault="001F1278">
      <w:pPr>
        <w:pBdr>
          <w:top w:val="nil"/>
          <w:left w:val="nil"/>
          <w:bottom w:val="nil"/>
          <w:right w:val="nil"/>
          <w:between w:val="nil"/>
        </w:pBdr>
        <w:spacing w:line="240" w:lineRule="auto"/>
        <w:ind w:left="142"/>
        <w:jc w:val="both"/>
        <w:rPr>
          <w:rFonts w:ascii="Times New Roman" w:eastAsia="Times New Roman" w:hAnsi="Times New Roman" w:cs="Times New Roman"/>
          <w:color w:val="000000"/>
          <w:sz w:val="24"/>
          <w:szCs w:val="24"/>
        </w:rPr>
      </w:pPr>
    </w:p>
    <w:p w14:paraId="066E6B8C"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AVALIAÇÃO DE DEMANDA DO PÚBLICO-ALVO</w:t>
      </w:r>
    </w:p>
    <w:p w14:paraId="55208132"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 público-alvo inclui alunos, pais, profissionais de educação (professores, diretores, coordenadores) e funcionários que frequentam ou trabalham no Colégio Municipal João Torres. Com a ampliação da capacidade da escola, o público se estenderá para a população em crescimento no município de Arraial do Cabo. O número de alunos matriculados na escola em 2025 é de 549 estudantes e a expectativa é que esse número cresça 18,5% ao ano, chegando a 1.283 alunos até 2029.</w:t>
      </w:r>
    </w:p>
    <w:p w14:paraId="5B0942DD"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Localizado no município de Arraial do Cabo, no estado do Rio de Janeiro. A escola atende a população da região e enfrenta um problema específico de sua localização: a estrutura está abaixo do nível da rua, o que causa alagamentos em dias de chuva intensa. O público valoriza a educação de qualidade, a segurança e o bem-estar da comunidade escolar. Há uma preocupação com as condições atuais da escola, que são descritas como deficientes, comprometendo a segurança e o desenvolvimento das atividades pedagógicas.</w:t>
      </w:r>
    </w:p>
    <w:p w14:paraId="0D57011D"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Os Munícipes têm buscado a melhoria das condições escolares, com a urgência das intervenções sendo registrada em diversos ofícios. A demanda para as melhorias partiu da própria unidade escolar e foi corroborada pela equipe de Engenharia e Arquitetura do FME. A comunidade escolar espera um ambiente que promova equidade, inclusão e respeito.</w:t>
      </w:r>
    </w:p>
    <w:p w14:paraId="5DD26D6E"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As principais dores do público-alvo estão relacionadas aos problemas estruturais e de infraestrutura da escola, que afetam a segurança, o conforto e a qualidade do ambiente de ensino. A estrutura atual é antiga e degradada. As deficiências incluem alagamentos em períodos de chuvas fortes, comprometendo o ambiente escolar. A acessibilidade é um ponto crítico, já que apenas 31% das unidades escolares do município atendem aos critérios de </w:t>
      </w:r>
      <w:r>
        <w:rPr>
          <w:rFonts w:ascii="Times New Roman" w:eastAsia="Times New Roman" w:hAnsi="Times New Roman" w:cs="Times New Roman"/>
          <w:color w:val="000000"/>
          <w:sz w:val="24"/>
          <w:szCs w:val="24"/>
        </w:rPr>
        <w:lastRenderedPageBreak/>
        <w:t>acessibilidade, e a Escola Municipal João Torres precisa de adaptações e reparos para cumprir essa função adequadamente.</w:t>
      </w:r>
    </w:p>
    <w:p w14:paraId="6CBD0221"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 público-alvo espera que a nova estrutura resolva de forma definitiva os problemas atuais e ofereça um ambiente de ensino mais seguro, moderno e inclusivo.</w:t>
      </w:r>
    </w:p>
    <w:p w14:paraId="2A079EC8" w14:textId="77777777" w:rsidR="001F1278" w:rsidRDefault="001F1278">
      <w:pPr>
        <w:pBdr>
          <w:top w:val="nil"/>
          <w:left w:val="nil"/>
          <w:bottom w:val="nil"/>
          <w:right w:val="nil"/>
          <w:between w:val="nil"/>
        </w:pBdr>
        <w:tabs>
          <w:tab w:val="left" w:pos="426"/>
        </w:tabs>
        <w:spacing w:line="240" w:lineRule="auto"/>
        <w:jc w:val="both"/>
        <w:rPr>
          <w:rFonts w:ascii="Times New Roman" w:eastAsia="Times New Roman" w:hAnsi="Times New Roman" w:cs="Times New Roman"/>
          <w:color w:val="000000"/>
          <w:sz w:val="16"/>
          <w:szCs w:val="16"/>
        </w:rPr>
      </w:pPr>
    </w:p>
    <w:p w14:paraId="01631CA0" w14:textId="77777777" w:rsidR="001F1278" w:rsidRDefault="00000000">
      <w:pPr>
        <w:numPr>
          <w:ilvl w:val="0"/>
          <w:numId w:val="5"/>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SEGURANÇA E SOLIDEZ:</w:t>
      </w:r>
      <w:r>
        <w:rPr>
          <w:rFonts w:ascii="Times New Roman" w:eastAsia="Times New Roman" w:hAnsi="Times New Roman" w:cs="Times New Roman"/>
          <w:color w:val="000000"/>
          <w:sz w:val="24"/>
          <w:szCs w:val="24"/>
        </w:rPr>
        <w:t xml:space="preserve"> A demolição da estrutura atual e a construção de um novo prédio garantirão a segurança física de alunos e funcionários. A nova construção será projetada com base em normas técnicas rigorosas, como a ABNT NBR 6118, para garantir a solidez e a durabilidade da edificação.</w:t>
      </w:r>
    </w:p>
    <w:p w14:paraId="524DE1EB" w14:textId="77777777" w:rsidR="001F1278" w:rsidRDefault="00000000">
      <w:pPr>
        <w:numPr>
          <w:ilvl w:val="0"/>
          <w:numId w:val="5"/>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ACESSIBILIDADE E INCLUSÃO:</w:t>
      </w:r>
      <w:r>
        <w:rPr>
          <w:rFonts w:ascii="Times New Roman" w:eastAsia="Times New Roman" w:hAnsi="Times New Roman" w:cs="Times New Roman"/>
          <w:color w:val="000000"/>
          <w:sz w:val="24"/>
          <w:szCs w:val="24"/>
        </w:rPr>
        <w:t xml:space="preserve"> A nova escola terá total acessibilidade em todos os seus espaços, atendendo integralmente à ABNT NBR 9050. Isso garantirá a autonomia e o conforto de todos os usuários, incluindo pessoas com deficiência e mobilidade reduzida, reforçando o compromisso com a equidade.</w:t>
      </w:r>
    </w:p>
    <w:p w14:paraId="10E0CC44" w14:textId="77777777" w:rsidR="001F1278" w:rsidRDefault="00000000">
      <w:pPr>
        <w:numPr>
          <w:ilvl w:val="0"/>
          <w:numId w:val="5"/>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CONFORTO E QUALIDADE DO ENSINO:</w:t>
      </w:r>
      <w:r>
        <w:rPr>
          <w:rFonts w:ascii="Times New Roman" w:eastAsia="Times New Roman" w:hAnsi="Times New Roman" w:cs="Times New Roman"/>
          <w:color w:val="000000"/>
          <w:sz w:val="24"/>
          <w:szCs w:val="24"/>
        </w:rPr>
        <w:t xml:space="preserve"> A construção de mais salas de aula permitirá um ambiente mais confortável e seguro, melhorando a qualidade das práticas pedagógicas e acomodando o crescimento projetado da população escolar. O projeto também inclui laboratórios, auditório, quadra e refeitório, que proporcionarão uma infraestrutura moderna para o ensino.</w:t>
      </w:r>
    </w:p>
    <w:p w14:paraId="1B090E1E" w14:textId="77777777" w:rsidR="001F1278" w:rsidRDefault="00000000">
      <w:pPr>
        <w:numPr>
          <w:ilvl w:val="0"/>
          <w:numId w:val="5"/>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SOLUÇÃO PARA ALAGAMENTOS:</w:t>
      </w:r>
      <w:r>
        <w:rPr>
          <w:rFonts w:ascii="Times New Roman" w:eastAsia="Times New Roman" w:hAnsi="Times New Roman" w:cs="Times New Roman"/>
          <w:color w:val="000000"/>
          <w:sz w:val="24"/>
          <w:szCs w:val="24"/>
        </w:rPr>
        <w:t xml:space="preserve"> A terraplanagem de 60 cm acima do nível do mar resolverá o problema de alagamentos, que afeta a operação da escola. A nova estrutura será elevada, o que evitará que o problema se repita.</w:t>
      </w:r>
    </w:p>
    <w:p w14:paraId="456F5E54" w14:textId="77777777" w:rsidR="001F1278" w:rsidRDefault="00000000">
      <w:pPr>
        <w:numPr>
          <w:ilvl w:val="0"/>
          <w:numId w:val="5"/>
        </w:numPr>
        <w:pBdr>
          <w:top w:val="nil"/>
          <w:left w:val="nil"/>
          <w:bottom w:val="nil"/>
          <w:right w:val="nil"/>
          <w:between w:val="nil"/>
        </w:pBdr>
        <w:tabs>
          <w:tab w:val="left" w:pos="426"/>
        </w:tabs>
        <w:spacing w:line="360" w:lineRule="auto"/>
        <w:ind w:left="426" w:hanging="426"/>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SUSTENTABILIDADE:</w:t>
      </w:r>
      <w:r>
        <w:rPr>
          <w:rFonts w:ascii="Times New Roman" w:eastAsia="Times New Roman" w:hAnsi="Times New Roman" w:cs="Times New Roman"/>
          <w:color w:val="000000"/>
          <w:sz w:val="24"/>
          <w:szCs w:val="24"/>
        </w:rPr>
        <w:t xml:space="preserve"> O projeto prevê a utilização de materiais de construção sustentáveis e a adoção de práticas que minimizem o impacto ambiental, o que está alinhado com o compromisso do FME com a sustentabilidade. A gestão de resíduos da construção civil será rigorosamente observada, de acordo com as normas vigentes.</w:t>
      </w:r>
    </w:p>
    <w:p w14:paraId="5C8296A7" w14:textId="77777777" w:rsidR="001F1278" w:rsidRDefault="001F1278">
      <w:pPr>
        <w:pBdr>
          <w:top w:val="nil"/>
          <w:left w:val="nil"/>
          <w:bottom w:val="nil"/>
          <w:right w:val="nil"/>
          <w:between w:val="nil"/>
        </w:pBdr>
        <w:spacing w:line="240" w:lineRule="auto"/>
        <w:ind w:left="142"/>
        <w:jc w:val="both"/>
        <w:rPr>
          <w:rFonts w:ascii="Times New Roman" w:eastAsia="Times New Roman" w:hAnsi="Times New Roman" w:cs="Times New Roman"/>
          <w:color w:val="000000"/>
          <w:sz w:val="24"/>
          <w:szCs w:val="24"/>
        </w:rPr>
      </w:pPr>
    </w:p>
    <w:p w14:paraId="18DA7237"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MOTIVAÇÃO TÉCNICO-ECONÔMICO-SOCIAL DO EMPREENDIMENTO</w:t>
      </w:r>
    </w:p>
    <w:p w14:paraId="0F5C70E4"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 motivação </w:t>
      </w:r>
      <w:r>
        <w:rPr>
          <w:rFonts w:ascii="Times New Roman" w:eastAsia="Times New Roman" w:hAnsi="Times New Roman" w:cs="Times New Roman"/>
          <w:sz w:val="24"/>
          <w:szCs w:val="24"/>
        </w:rPr>
        <w:t>para a intervenção</w:t>
      </w:r>
      <w:r>
        <w:rPr>
          <w:rFonts w:ascii="Times New Roman" w:eastAsia="Times New Roman" w:hAnsi="Times New Roman" w:cs="Times New Roman"/>
          <w:color w:val="000000"/>
          <w:sz w:val="24"/>
          <w:szCs w:val="24"/>
        </w:rPr>
        <w:t xml:space="preserve"> no Colégio Municipal João Torres é tecnicamente necessária devido à constatação de que a estrutura atual não atende às normas técnicas e de desempenho vigentes. A edificação, considerada antiga e degradada, apresenta "relevantes deficiências estruturais e de infraestrutura" que comprometem o desenvolvimento das atividades pedagógicas e a segurança da comunidade escolar. </w:t>
      </w:r>
    </w:p>
    <w:p w14:paraId="68638430"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Nossas análises, corroboradas pela equipe de Engenharia e Arquitetura do Fundo Municipal de Educação (FME), identificaram que a estrutura está abaixo do nível da rua, o que resulta em alagamentos durante chuvas intensas. </w:t>
      </w:r>
    </w:p>
    <w:p w14:paraId="4CD30977"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 solução técnica proposta, portanto, é a demolição completa da edificação existente, a terraplanagem de 60 cm acima do nível do mar para resolver o problema de alagamento, e a reconstrução de um novo colégio em alvenaria no mesmo terreno. Essa abordagem foi considerada a mais adequada, pois uma reforma seria inviável, já que pouquíssimas estruturas poderiam ser aproveitadas. </w:t>
      </w:r>
    </w:p>
    <w:p w14:paraId="571F06E0"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 análise econômica deste projeto busca a vantajosidade e a economicidade da solução, garantindo que a intervenção se adeque às restrições orçamentárias e projeções financeiras da administração. </w:t>
      </w:r>
    </w:p>
    <w:p w14:paraId="5C57A7C0"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decisão de demolir e reconstruir foi baseada na avaliação de que uma reforma seria menos vantajosa do ponto de vista econômico, considerando o tempo de execução e a baixa taxa de aproveitamento das estruturas existentes. Buscamos otimizar recursos por meio de um planejamento cuidadoso e práticas sustentáveis e eficientes, minimizando o desperdício.</w:t>
      </w:r>
    </w:p>
    <w:p w14:paraId="29CB4B91" w14:textId="77777777" w:rsidR="001F1278" w:rsidRDefault="001F1278">
      <w:pPr>
        <w:spacing w:line="240" w:lineRule="auto"/>
        <w:jc w:val="both"/>
        <w:rPr>
          <w:rFonts w:ascii="Times New Roman" w:eastAsia="Times New Roman" w:hAnsi="Times New Roman" w:cs="Times New Roman"/>
          <w:sz w:val="24"/>
          <w:szCs w:val="24"/>
        </w:rPr>
      </w:pPr>
    </w:p>
    <w:p w14:paraId="771EB2D8"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DEFINIÇÃO QUANTO AO NÍVEL DE SERVIÇO DESEJADO</w:t>
      </w:r>
    </w:p>
    <w:p w14:paraId="6FBFF902"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Com relação aos níveis de serviços desejado na execução da obra, deverão ser consideradas inovações tecnológicas ou técnicas para desenvolvimento dos projetos, no que se refere à sustentabilidade ambiental e eficiência energética, buscando a redução no consumo de energia por meio de soluções de conforto hidrotérmico, acústico, de reaproveitamento de águas pluviais e utilização de materiais menos poluentes. </w:t>
      </w:r>
    </w:p>
    <w:p w14:paraId="32C0BB56"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Além disso, deverá ser utilizado sistemas construtivos que possibilitem a redução da geração de resíduos sólidos durante a construção e maior agilidade na execução da obra, conforme descrito no PARÂMETROS DE ADEQUAÇÃO, de maneira a proporcionar soluções vantajosas à Administração. </w:t>
      </w:r>
    </w:p>
    <w:p w14:paraId="26DFA497"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A CONTRATADA também deve realizar o planejamento da obra visando garantia da qualidade dos serviços executados, tanto daqueles realizados pela equipe própria quanto de terceiros, para alcançar os níveis de serviço desejados. </w:t>
      </w:r>
    </w:p>
    <w:p w14:paraId="6CBA003B"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Dessa forma, são fatores essenciais a uma obra de qualidade o controle eficiente dos processos de execução, principalmente o monitoramento da qualidade dos materiais </w:t>
      </w:r>
      <w:r>
        <w:rPr>
          <w:rFonts w:ascii="Times New Roman" w:eastAsia="Times New Roman" w:hAnsi="Times New Roman" w:cs="Times New Roman"/>
          <w:color w:val="000000"/>
          <w:sz w:val="24"/>
          <w:szCs w:val="24"/>
        </w:rPr>
        <w:lastRenderedPageBreak/>
        <w:t>empregados, o controle do nível de execução dos serviços e alto índice de confiabilidade nos fornecedores e prestadores escolhidos.</w:t>
      </w:r>
    </w:p>
    <w:p w14:paraId="36A7CD4C"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Em relação aos materiais empregados devem ser observados os parâmetros mínimos definidos no Memorial Descritivo, conforme ANEXO III, devendo ser atendidos os aspectos de Conforto Tátil e Antropodinâmico definidos pela NBR 15.575:2013. </w:t>
      </w:r>
    </w:p>
    <w:p w14:paraId="5E7BABCF"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Sobre o controle do nível de execução dos serviços devem ser adotadas ferramentas de gestão como por exemplo emprego de BIM nas atividades de execução da obra e aplicação da metodologia Project Management Body of Knowledge - PMBOK. </w:t>
      </w:r>
    </w:p>
    <w:p w14:paraId="497AFDD0"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Em relação a mão de obra empregada deve-se observar o disposto na ISO 9001, visando recrutar profissionais capacitados e com habilidades complementares para execução dos serviços. </w:t>
      </w:r>
    </w:p>
    <w:p w14:paraId="0E67F7B2"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Para a execução da obra, deverão ser atendidas as Normas Regulamentadoras da construção civil (NR's): </w:t>
      </w:r>
    </w:p>
    <w:p w14:paraId="4596270E"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NR 6 – Equipamentos de Proteção Individual (EPI)</w:t>
      </w:r>
    </w:p>
    <w:p w14:paraId="2C651130"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NR 8 – Padrões de edificações</w:t>
      </w:r>
    </w:p>
    <w:p w14:paraId="3C5134C1"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NR 12 – Uso de maquinário</w:t>
      </w:r>
    </w:p>
    <w:p w14:paraId="1261B38C"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NR 18 – Medidas de segurança</w:t>
      </w:r>
    </w:p>
    <w:p w14:paraId="4931B6C2"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NR 35 – Segurança nas alturas</w:t>
      </w:r>
    </w:p>
    <w:p w14:paraId="133D1376" w14:textId="77777777" w:rsidR="001F1278" w:rsidRDefault="001F1278">
      <w:pPr>
        <w:pBdr>
          <w:top w:val="nil"/>
          <w:left w:val="nil"/>
          <w:bottom w:val="nil"/>
          <w:right w:val="nil"/>
          <w:between w:val="nil"/>
        </w:pBdr>
        <w:spacing w:line="240" w:lineRule="auto"/>
        <w:ind w:left="142"/>
        <w:jc w:val="both"/>
        <w:rPr>
          <w:rFonts w:ascii="Times New Roman" w:eastAsia="Times New Roman" w:hAnsi="Times New Roman" w:cs="Times New Roman"/>
          <w:color w:val="000000"/>
          <w:sz w:val="24"/>
          <w:szCs w:val="24"/>
        </w:rPr>
      </w:pPr>
    </w:p>
    <w:p w14:paraId="29204752" w14:textId="77777777" w:rsidR="001F1278" w:rsidRDefault="00000000">
      <w:pPr>
        <w:numPr>
          <w:ilvl w:val="0"/>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ESTUDOS, LEVANTAMENTOS E DIAGNÓSTICOS </w:t>
      </w:r>
    </w:p>
    <w:p w14:paraId="565CEA22" w14:textId="77777777" w:rsidR="001F1278" w:rsidRDefault="001F1278">
      <w:pPr>
        <w:pBdr>
          <w:top w:val="nil"/>
          <w:left w:val="nil"/>
          <w:bottom w:val="nil"/>
          <w:right w:val="nil"/>
          <w:between w:val="nil"/>
        </w:pBdr>
        <w:tabs>
          <w:tab w:val="left" w:pos="426"/>
        </w:tabs>
        <w:spacing w:line="240" w:lineRule="auto"/>
        <w:jc w:val="both"/>
        <w:rPr>
          <w:rFonts w:ascii="Times New Roman" w:eastAsia="Times New Roman" w:hAnsi="Times New Roman" w:cs="Times New Roman"/>
          <w:b/>
          <w:bCs/>
          <w:color w:val="000000"/>
          <w:sz w:val="10"/>
          <w:szCs w:val="10"/>
        </w:rPr>
      </w:pPr>
    </w:p>
    <w:p w14:paraId="458EEFEB" w14:textId="77777777" w:rsidR="001F1278" w:rsidRDefault="00000000">
      <w:pPr>
        <w:numPr>
          <w:ilvl w:val="1"/>
          <w:numId w:val="1"/>
        </w:numPr>
        <w:pBdr>
          <w:top w:val="nil"/>
          <w:left w:val="nil"/>
          <w:bottom w:val="nil"/>
          <w:right w:val="nil"/>
          <w:between w:val="nil"/>
        </w:pBdr>
        <w:spacing w:line="360" w:lineRule="auto"/>
        <w:ind w:left="426" w:hanging="426"/>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CONDIÇÕES DE SOLIDEZ, DE SEGURANÇA E DE DURABILIDADE</w:t>
      </w:r>
    </w:p>
    <w:p w14:paraId="1796F4D9" w14:textId="77777777" w:rsidR="001F1278" w:rsidRDefault="001F1278">
      <w:pPr>
        <w:pBdr>
          <w:top w:val="nil"/>
          <w:left w:val="nil"/>
          <w:bottom w:val="nil"/>
          <w:right w:val="nil"/>
          <w:between w:val="nil"/>
        </w:pBdr>
        <w:spacing w:line="240" w:lineRule="auto"/>
        <w:ind w:left="426"/>
        <w:jc w:val="both"/>
        <w:rPr>
          <w:rFonts w:ascii="Times New Roman" w:eastAsia="Times New Roman" w:hAnsi="Times New Roman" w:cs="Times New Roman"/>
          <w:b/>
          <w:bCs/>
          <w:color w:val="000000"/>
          <w:sz w:val="16"/>
          <w:szCs w:val="16"/>
        </w:rPr>
      </w:pPr>
    </w:p>
    <w:p w14:paraId="153BE095"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CONTRATADA deve garantir a solidez e a segurança da edificação de acordo com os parâmetros estabelecidos na NBR 15.575:2013, NBR 8.681:2013 e NBR 9077:2001. Devendo respeitar os requisitos de segurança estipulados pelas normativas no que diz respeito à Segurança Estrutural, Segurança Contra o Fogo e Segurança no Uso e na Operação. </w:t>
      </w:r>
    </w:p>
    <w:p w14:paraId="35236D00"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Além do estabelecido pelas normas citadas, a CONTRATADA deve atentar-se as demais normativas vigentes no âmbito Estadual e Municipal, em especial para a Legislação de Prevenção e Combate a Incêndios e a Desastres do Estado do Rio de Janeiro, durabilidade do projeto, da edificação e de seus sistemas devem estar de acordo com o previsto pela NBR 15.575:2013 – parte 1. Sendo que, durante toda a Vida Útil da edificação e seus sistemas deve ser mantido o nível de desempenho estabelecido durante a fase de projeto e construção. </w:t>
      </w:r>
    </w:p>
    <w:p w14:paraId="2B196DAC"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Conforme a NBR 15.575:2013 - parte 1, item 14.1, entende-se que a durabilidade de um produto se extingue quando:</w:t>
      </w:r>
    </w:p>
    <w:p w14:paraId="09911CB4" w14:textId="77777777" w:rsidR="001F1278" w:rsidRDefault="00000000">
      <w:pPr>
        <w:pBdr>
          <w:top w:val="nil"/>
          <w:left w:val="nil"/>
          <w:bottom w:val="nil"/>
          <w:right w:val="nil"/>
          <w:between w:val="nil"/>
        </w:pBdr>
        <w:spacing w:line="360" w:lineRule="auto"/>
        <w:ind w:left="4111"/>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“Ele deixa de cumprir as funções que lhe forem atribuídas, quer seja pela degradação que o conduz a um estado insatisfatório de desempenho, quer seja por obsolescência funcional.”</w:t>
      </w:r>
    </w:p>
    <w:p w14:paraId="1F06E83B" w14:textId="77777777" w:rsidR="001F1278" w:rsidRDefault="001F1278">
      <w:pPr>
        <w:spacing w:line="240" w:lineRule="auto"/>
        <w:jc w:val="both"/>
        <w:rPr>
          <w:rFonts w:ascii="Times New Roman" w:eastAsia="Times New Roman" w:hAnsi="Times New Roman" w:cs="Times New Roman"/>
          <w:sz w:val="16"/>
          <w:szCs w:val="16"/>
        </w:rPr>
      </w:pPr>
    </w:p>
    <w:p w14:paraId="6707D3CE" w14:textId="77777777" w:rsidR="001F1278" w:rsidRDefault="00000000">
      <w:pPr>
        <w:spacing w:line="360" w:lineRule="auto"/>
        <w:ind w:left="411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Conforme a NBR 15.575:2013 - parte 1, item 3.42, entende-se como Vida Útil:</w:t>
      </w:r>
    </w:p>
    <w:p w14:paraId="325584C4" w14:textId="77777777" w:rsidR="001F1278" w:rsidRDefault="00000000">
      <w:pPr>
        <w:pBdr>
          <w:top w:val="nil"/>
          <w:left w:val="nil"/>
          <w:bottom w:val="nil"/>
          <w:right w:val="nil"/>
          <w:between w:val="nil"/>
        </w:pBdr>
        <w:spacing w:line="360" w:lineRule="auto"/>
        <w:ind w:left="4111"/>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“Período de tempo em que um edifício e/ou seus sistemas se prestam às atividades para as quais foram projetados e construídos considerando a periodicidade e correta execução dos processos de manutenção especificados no respectivo Manual de Uso, Operação e Manutenção (a vida útil não pode ser confundida com prazo de garantia legal e certificada).” </w:t>
      </w:r>
    </w:p>
    <w:p w14:paraId="15D32182" w14:textId="77777777" w:rsidR="001F1278" w:rsidRDefault="001F1278">
      <w:pPr>
        <w:spacing w:line="240" w:lineRule="auto"/>
        <w:jc w:val="both"/>
        <w:rPr>
          <w:rFonts w:ascii="Times New Roman" w:eastAsia="Times New Roman" w:hAnsi="Times New Roman" w:cs="Times New Roman"/>
          <w:i/>
          <w:iCs/>
          <w:sz w:val="24"/>
          <w:szCs w:val="24"/>
        </w:rPr>
      </w:pPr>
    </w:p>
    <w:p w14:paraId="5FB92495"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definição da Vida Útil de Projeto é responsabilidade da CONTRATADA, sendo que estes devem ser definidos de acordo com a NBR 15.575-1:2013, item 14, e devem considerar como valores mínimos estabelecidos no item 14.2.1., tabela 14.1.</w:t>
      </w:r>
    </w:p>
    <w:p w14:paraId="5CBD5659"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Para os casos não cobertos pela Tabela 14.1, a determinação da Vida Útil de Projeto VUP mínima deve basear-se nas recomendações da Tabela C.4 da mesma norma. </w:t>
      </w:r>
    </w:p>
    <w:p w14:paraId="66A67596"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também é responsável por elaborar o Manual de Uso, Operação e Manutenção referente a Edificação, de maneira a possibilitar que ao realizar-se as devidas manutenções previstas pelo Manual a edificação e seus sistemas irão alcançar a Vida Útil de Projeto estabelecida.</w:t>
      </w:r>
    </w:p>
    <w:p w14:paraId="1AF9F2DB" w14:textId="77777777" w:rsidR="001F1278" w:rsidRDefault="001F1278">
      <w:pPr>
        <w:spacing w:line="240" w:lineRule="auto"/>
        <w:jc w:val="both"/>
        <w:rPr>
          <w:rFonts w:ascii="Times New Roman" w:eastAsia="Times New Roman" w:hAnsi="Times New Roman" w:cs="Times New Roman"/>
          <w:sz w:val="24"/>
          <w:szCs w:val="24"/>
        </w:rPr>
      </w:pPr>
    </w:p>
    <w:p w14:paraId="01E67C9A"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PARÂMETROS DE ADEQUAÇÃO</w:t>
      </w:r>
    </w:p>
    <w:p w14:paraId="0246C68A" w14:textId="77777777" w:rsidR="001F1278" w:rsidRDefault="001F1278">
      <w:pPr>
        <w:pBdr>
          <w:top w:val="nil"/>
          <w:left w:val="nil"/>
          <w:bottom w:val="nil"/>
          <w:right w:val="nil"/>
          <w:between w:val="nil"/>
        </w:pBdr>
        <w:spacing w:line="240" w:lineRule="auto"/>
        <w:ind w:left="360"/>
        <w:jc w:val="both"/>
        <w:rPr>
          <w:rFonts w:ascii="Times New Roman" w:eastAsia="Times New Roman" w:hAnsi="Times New Roman" w:cs="Times New Roman"/>
          <w:b/>
          <w:bCs/>
          <w:color w:val="000000"/>
          <w:sz w:val="10"/>
          <w:szCs w:val="10"/>
        </w:rPr>
      </w:pPr>
    </w:p>
    <w:p w14:paraId="703B3E26" w14:textId="77777777" w:rsidR="001F1278" w:rsidRDefault="00000000">
      <w:pPr>
        <w:numPr>
          <w:ilvl w:val="1"/>
          <w:numId w:val="1"/>
        </w:numPr>
        <w:pBdr>
          <w:top w:val="nil"/>
          <w:left w:val="nil"/>
          <w:bottom w:val="nil"/>
          <w:right w:val="nil"/>
          <w:between w:val="nil"/>
        </w:pBdr>
        <w:tabs>
          <w:tab w:val="left" w:pos="0"/>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PARÂMETROS DE ADEQUAÇÃO AO INTERESSE PÚBLICO</w:t>
      </w:r>
    </w:p>
    <w:p w14:paraId="29DF3437" w14:textId="77777777" w:rsidR="00BB7D7C" w:rsidRPr="00BB7D7C" w:rsidRDefault="00BB7D7C" w:rsidP="00BB7D7C">
      <w:pPr>
        <w:spacing w:line="360" w:lineRule="auto"/>
        <w:ind w:firstLine="426"/>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 xml:space="preserve">Em consonância com o interesse público que fundamenta as demandas acima, a contratação deverá observar os princípios e as diretrizes que regem a governança nas </w:t>
      </w:r>
      <w:r w:rsidRPr="00BB7D7C">
        <w:rPr>
          <w:rFonts w:ascii="Times New Roman" w:eastAsia="Times New Roman" w:hAnsi="Times New Roman" w:cs="Times New Roman"/>
          <w:sz w:val="24"/>
          <w:szCs w:val="24"/>
        </w:rPr>
        <w:lastRenderedPageBreak/>
        <w:t>contratações públicas, com a finalidade de assegurar o alcance dos objetivos previstos na Lei nº 14.133/2021.</w:t>
      </w:r>
    </w:p>
    <w:p w14:paraId="72E2D89A" w14:textId="1483E1C7" w:rsidR="00BB7D7C" w:rsidRPr="00BB7D7C" w:rsidRDefault="00BB7D7C" w:rsidP="00BB7D7C">
      <w:pPr>
        <w:spacing w:line="360" w:lineRule="auto"/>
        <w:ind w:firstLine="426"/>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Nesse contexto, a governança nas contratações públicas orienta-se por diretrizes destinadas a garantir a legalidade, a eficiência, a transparência e a adequada aplicação dos recursos públicos.</w:t>
      </w:r>
      <w:r>
        <w:rPr>
          <w:rFonts w:ascii="Times New Roman" w:eastAsia="Times New Roman" w:hAnsi="Times New Roman" w:cs="Times New Roman"/>
          <w:sz w:val="24"/>
          <w:szCs w:val="24"/>
        </w:rPr>
        <w:t xml:space="preserve"> Sendo:</w:t>
      </w:r>
    </w:p>
    <w:p w14:paraId="4B13153F" w14:textId="085223CB"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Promoção do desenvolvimento estadual sustentável;</w:t>
      </w:r>
    </w:p>
    <w:p w14:paraId="3622DD6B" w14:textId="00341F27"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Promoção do tratamento diferenciado e simplificado à microempresa e à empresa de pequeno porte;</w:t>
      </w:r>
    </w:p>
    <w:p w14:paraId="72951FF2" w14:textId="4C4EA59C" w:rsidR="001F1278" w:rsidRPr="00BB7D7C" w:rsidRDefault="00BB7D7C" w:rsidP="00BB7D7C">
      <w:pPr>
        <w:pStyle w:val="PargrafodaLista"/>
        <w:numPr>
          <w:ilvl w:val="0"/>
          <w:numId w:val="12"/>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BB7D7C">
        <w:rPr>
          <w:rFonts w:ascii="Times New Roman" w:eastAsia="Times New Roman" w:hAnsi="Times New Roman" w:cs="Times New Roman"/>
          <w:sz w:val="24"/>
          <w:szCs w:val="24"/>
        </w:rPr>
        <w:t>romoção de ambiente negocial íntegro e confiável;</w:t>
      </w:r>
    </w:p>
    <w:p w14:paraId="5DF76B17" w14:textId="3E8F9CAC"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Alinhamento das contratações públicas aos planejamentos estratégicos dos órgãos e entidades, bem como às leis orçamentárias;</w:t>
      </w:r>
    </w:p>
    <w:p w14:paraId="77D44C03" w14:textId="72871954"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Fomento à competitividade nos certames, incentivando a participação de fornecedores em potencial;</w:t>
      </w:r>
    </w:p>
    <w:p w14:paraId="2674F631" w14:textId="390604BD"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Aprimoramento da interação com o mercado fornecedor, como forma de se promover a inovação e de se prospectarem soluções que maximizem a efetividade da contratação;</w:t>
      </w:r>
    </w:p>
    <w:p w14:paraId="70158D3D" w14:textId="621D39A8"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Desburocratização, incentivo à participação social, uso de linguagem simples e de tecnologia;</w:t>
      </w:r>
    </w:p>
    <w:p w14:paraId="05D85C64" w14:textId="3393BB9B" w:rsidR="001F1278" w:rsidRPr="00BB7D7C" w:rsidRDefault="00BB7D7C" w:rsidP="00BB7D7C">
      <w:pPr>
        <w:pStyle w:val="PargrafodaLista"/>
        <w:numPr>
          <w:ilvl w:val="0"/>
          <w:numId w:val="12"/>
        </w:num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w:t>
      </w:r>
      <w:r w:rsidRPr="00BB7D7C">
        <w:rPr>
          <w:rFonts w:ascii="Times New Roman" w:eastAsia="Times New Roman" w:hAnsi="Times New Roman" w:cs="Times New Roman"/>
          <w:sz w:val="24"/>
          <w:szCs w:val="24"/>
        </w:rPr>
        <w:t>ransparência processual; e</w:t>
      </w:r>
    </w:p>
    <w:p w14:paraId="585D2C49" w14:textId="687EF389" w:rsidR="001F1278" w:rsidRPr="00BB7D7C" w:rsidRDefault="00000000" w:rsidP="00BB7D7C">
      <w:pPr>
        <w:pStyle w:val="PargrafodaLista"/>
        <w:numPr>
          <w:ilvl w:val="0"/>
          <w:numId w:val="12"/>
        </w:numPr>
        <w:spacing w:line="360" w:lineRule="auto"/>
        <w:jc w:val="both"/>
        <w:rPr>
          <w:rFonts w:ascii="Times New Roman" w:eastAsia="Times New Roman" w:hAnsi="Times New Roman" w:cs="Times New Roman"/>
          <w:sz w:val="24"/>
          <w:szCs w:val="24"/>
        </w:rPr>
      </w:pPr>
      <w:r w:rsidRPr="00BB7D7C">
        <w:rPr>
          <w:rFonts w:ascii="Times New Roman" w:eastAsia="Times New Roman" w:hAnsi="Times New Roman" w:cs="Times New Roman"/>
          <w:sz w:val="24"/>
          <w:szCs w:val="24"/>
        </w:rPr>
        <w:t>Padronização de procedimentos e centralização das contratações, sempre que pertinente.</w:t>
      </w:r>
    </w:p>
    <w:p w14:paraId="0978E30F" w14:textId="77777777" w:rsidR="001F1278" w:rsidRDefault="001F1278">
      <w:pPr>
        <w:spacing w:line="240" w:lineRule="auto"/>
        <w:jc w:val="both"/>
        <w:rPr>
          <w:rFonts w:ascii="Times New Roman" w:eastAsia="Times New Roman" w:hAnsi="Times New Roman" w:cs="Times New Roman"/>
          <w:sz w:val="16"/>
          <w:szCs w:val="16"/>
        </w:rPr>
      </w:pPr>
    </w:p>
    <w:p w14:paraId="7DAB778F" w14:textId="77777777" w:rsidR="001F1278" w:rsidRDefault="00000000">
      <w:pPr>
        <w:tabs>
          <w:tab w:val="left" w:pos="284"/>
          <w:tab w:val="left" w:pos="426"/>
        </w:tabs>
        <w:spacing w:line="360" w:lineRule="auto"/>
        <w:ind w:firstLine="426"/>
        <w:jc w:val="both"/>
        <w:rPr>
          <w:rFonts w:ascii="Times New Roman" w:eastAsia="Times New Roman" w:hAnsi="Times New Roman" w:cs="Times New Roman"/>
          <w:i/>
          <w:iCs/>
          <w:sz w:val="24"/>
          <w:szCs w:val="24"/>
        </w:rPr>
      </w:pPr>
      <w:r>
        <w:rPr>
          <w:rFonts w:ascii="Times New Roman" w:eastAsia="Times New Roman" w:hAnsi="Times New Roman" w:cs="Times New Roman"/>
          <w:sz w:val="24"/>
          <w:szCs w:val="24"/>
        </w:rPr>
        <w:t xml:space="preserve">Portanto, estabelece como parâmetros os critérios socioeconômico, socioambiental, sociocultural e sociopolítico para fundamentar escolhas durante todo o processo de contratação de uma edificação, uma obra ou serviço de engenharia e/ou arquitetura. </w:t>
      </w:r>
    </w:p>
    <w:p w14:paraId="3616A33C"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Esses critérios devem estar inter-relacionados e ponderados, de modo que entre eles haja equilíbrio, almejando o desenvolvimento sustentável, que não se resume apenas ao critério econômico, mas aos demais citados também, atendendo ao interesse público, de acordo com o estabelecido no art. 45 da Lei Federal Nº 14.133/2021.</w:t>
      </w:r>
    </w:p>
    <w:p w14:paraId="1D80F90F" w14:textId="77777777" w:rsidR="001F1278" w:rsidRDefault="001F1278">
      <w:pPr>
        <w:spacing w:line="240" w:lineRule="auto"/>
        <w:jc w:val="both"/>
        <w:rPr>
          <w:rFonts w:ascii="Times New Roman" w:eastAsia="Times New Roman" w:hAnsi="Times New Roman" w:cs="Times New Roman"/>
          <w:sz w:val="24"/>
          <w:szCs w:val="24"/>
        </w:rPr>
      </w:pPr>
    </w:p>
    <w:p w14:paraId="77DF7A21"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PARÂMETROS DE ADEQUAÇÃO À ECONOMIA NA UTILIZAÇÃO</w:t>
      </w:r>
    </w:p>
    <w:p w14:paraId="535D4158"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Os projetos deverão ser desenvolvidos considerando inovações tecnológicas ou técnicas, visando a sustentabilidade e eficiência energética do edifício, conforme Certificação de desempenho de edifícios aplicada: obras LEED™- </w:t>
      </w:r>
      <w:r>
        <w:rPr>
          <w:rFonts w:ascii="Times New Roman" w:eastAsia="Times New Roman" w:hAnsi="Times New Roman" w:cs="Times New Roman"/>
          <w:i/>
          <w:iCs/>
          <w:color w:val="000000"/>
          <w:sz w:val="24"/>
          <w:szCs w:val="24"/>
        </w:rPr>
        <w:t xml:space="preserve">Leadership in Energy and Environmental Design </w:t>
      </w:r>
      <w:r>
        <w:rPr>
          <w:rFonts w:ascii="Times New Roman" w:eastAsia="Times New Roman" w:hAnsi="Times New Roman" w:cs="Times New Roman"/>
          <w:color w:val="000000"/>
          <w:sz w:val="24"/>
          <w:szCs w:val="24"/>
        </w:rPr>
        <w:t xml:space="preserve">(Liderança em Energia e Design Ambiental) ou AQUA-HQE. </w:t>
      </w:r>
    </w:p>
    <w:p w14:paraId="3BA0A276"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CONTRATADA deverá prever, no mínimo, as seguintes soluções nos projetos:</w:t>
      </w:r>
    </w:p>
    <w:p w14:paraId="1C856C60" w14:textId="77777777" w:rsidR="001F1278" w:rsidRDefault="00000000">
      <w:pPr>
        <w:numPr>
          <w:ilvl w:val="0"/>
          <w:numId w:val="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Conforto higrotérmico e acústico, conforme parâmetros das normativas NBR 15.575, NBR 10.152:1992, NBR 8.572:1984; NBR 10.151:2019; NBR 10.152:2017;</w:t>
      </w:r>
    </w:p>
    <w:p w14:paraId="459B5ABE" w14:textId="77777777" w:rsidR="001F1278" w:rsidRDefault="00000000">
      <w:pPr>
        <w:numPr>
          <w:ilvl w:val="0"/>
          <w:numId w:val="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Eficiência energética da edificação de acordo com parâmetro do Selo Procel Edificações e Etiqueta PBE Edifica classificação A;</w:t>
      </w:r>
    </w:p>
    <w:p w14:paraId="73F509E1" w14:textId="77777777" w:rsidR="001F1278" w:rsidRDefault="00000000">
      <w:pPr>
        <w:numPr>
          <w:ilvl w:val="0"/>
          <w:numId w:val="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Reaproveitamento de águas pluviais e soluções para eficiência hídrica, conforme NBR 15.527:2019;</w:t>
      </w:r>
    </w:p>
    <w:p w14:paraId="1A88FB4B" w14:textId="77777777" w:rsidR="001F1278" w:rsidRDefault="00000000">
      <w:pPr>
        <w:numPr>
          <w:ilvl w:val="0"/>
          <w:numId w:val="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Soluções para minimização de resíduos sólidos, seguindo as premissas da NBR 15.113:2004 e da Lei nº. 12.305:2010;</w:t>
      </w:r>
    </w:p>
    <w:p w14:paraId="141D3E25" w14:textId="77777777" w:rsidR="001F1278" w:rsidRDefault="00000000">
      <w:pPr>
        <w:numPr>
          <w:ilvl w:val="0"/>
          <w:numId w:val="6"/>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Utilização de materiais menos poluentes e com durabilidade de acordo com parâmetros da NBR 15.575.</w:t>
      </w:r>
    </w:p>
    <w:p w14:paraId="40E5D95F" w14:textId="77777777" w:rsidR="001F1278" w:rsidRDefault="001F1278">
      <w:pPr>
        <w:pBdr>
          <w:top w:val="nil"/>
          <w:left w:val="nil"/>
          <w:bottom w:val="nil"/>
          <w:right w:val="nil"/>
          <w:between w:val="nil"/>
        </w:pBdr>
        <w:spacing w:line="240" w:lineRule="auto"/>
        <w:ind w:left="142"/>
        <w:jc w:val="both"/>
        <w:rPr>
          <w:rFonts w:ascii="Times New Roman" w:eastAsia="Times New Roman" w:hAnsi="Times New Roman" w:cs="Times New Roman"/>
          <w:color w:val="000000"/>
          <w:sz w:val="24"/>
          <w:szCs w:val="24"/>
        </w:rPr>
      </w:pPr>
    </w:p>
    <w:p w14:paraId="4CD0F9BD"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PARÂMETROS DE ADEQUAÇÃO À FACILIDADE NA EXECUÇÃO</w:t>
      </w:r>
    </w:p>
    <w:p w14:paraId="0809948A"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Os projetos deverão ser desenvolvidos em plataforma BIM (</w:t>
      </w:r>
      <w:r>
        <w:rPr>
          <w:rFonts w:ascii="Times New Roman" w:eastAsia="Times New Roman" w:hAnsi="Times New Roman" w:cs="Times New Roman"/>
          <w:i/>
          <w:iCs/>
          <w:color w:val="000000"/>
          <w:sz w:val="24"/>
          <w:szCs w:val="24"/>
        </w:rPr>
        <w:t>Building Information Modeling</w:t>
      </w:r>
      <w:r>
        <w:rPr>
          <w:rFonts w:ascii="Times New Roman" w:eastAsia="Times New Roman" w:hAnsi="Times New Roman" w:cs="Times New Roman"/>
          <w:color w:val="000000"/>
          <w:sz w:val="24"/>
          <w:szCs w:val="24"/>
        </w:rPr>
        <w:t>), considerando sistemas construtivos que possibilitem maior agilidade na execução da obra, propiciando soluções vantajosas à Administração.</w:t>
      </w:r>
    </w:p>
    <w:p w14:paraId="7294338B"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Os modelos desenvolvidos em plataforma BIM, podem ser utilizados nas atividades de execução da obra, facilitando a análise dos projetos e acompanhamento das etapas da obra. Possibilitando dessa forma um gerenciamento ativo, com redução de erros e tempo de execução do objeto, impactando positivamente nos custos.  </w:t>
      </w:r>
    </w:p>
    <w:p w14:paraId="3A8A4B4A"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Recomenda-se o uso de sistemas construtivos inovadores e sustentáveis, que utilizem tecnologias de baixo consumo hídrico e ofereçam bom desempenho térmico e acústico. Essa abordagem visa otimizar a agilidade e a facilidade na execução das edificações, proporcionando benefícios significativos à Administração Pública.</w:t>
      </w:r>
    </w:p>
    <w:p w14:paraId="66773005" w14:textId="77777777" w:rsidR="001F1278" w:rsidRDefault="001F1278">
      <w:pPr>
        <w:spacing w:line="240" w:lineRule="auto"/>
        <w:jc w:val="both"/>
        <w:rPr>
          <w:rFonts w:ascii="Times New Roman" w:eastAsia="Times New Roman" w:hAnsi="Times New Roman" w:cs="Times New Roman"/>
          <w:sz w:val="24"/>
          <w:szCs w:val="24"/>
        </w:rPr>
      </w:pPr>
    </w:p>
    <w:p w14:paraId="057A1D5E" w14:textId="77777777" w:rsidR="001F1278" w:rsidRDefault="00000000">
      <w:pPr>
        <w:numPr>
          <w:ilvl w:val="0"/>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PARÂMETROS DE ADEQUAÇÃO AOS IMPACTOS AMBIENTAIS E À ACESSIBILIDADE</w:t>
      </w:r>
    </w:p>
    <w:p w14:paraId="38C541B1" w14:textId="77777777" w:rsidR="001F1278" w:rsidRDefault="00000000">
      <w:pPr>
        <w:numPr>
          <w:ilvl w:val="1"/>
          <w:numId w:val="1"/>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 xml:space="preserve">A CONTRATADA deverá buscar sustentabilidade ambiental e baixo impacto ambiental na execução da edificação, devendo adotar soluções tanto na fase de planejamento quanto na fase de construção.  </w:t>
      </w:r>
    </w:p>
    <w:p w14:paraId="0275F307" w14:textId="77777777" w:rsidR="001F1278" w:rsidRDefault="00000000">
      <w:pPr>
        <w:numPr>
          <w:ilvl w:val="1"/>
          <w:numId w:val="1"/>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Deve-se buscar o gerenciamento e minimização dos resíduos sólidos gerados durante a execução da edificação, usando como base com os parâmetros da NBR 15.113:2004 e da Lei nº. 12.305:2010. </w:t>
      </w:r>
    </w:p>
    <w:p w14:paraId="01F91137" w14:textId="77777777" w:rsidR="001F1278" w:rsidRDefault="00000000">
      <w:pPr>
        <w:numPr>
          <w:ilvl w:val="1"/>
          <w:numId w:val="1"/>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Em relação a acessibilidade, por se tratar de uma edificação de uso coletivo, todos os espaços, edificações, mobiliários e equipamentos que vierem a ser projetados, construídos, montados ou implantados, devem ser acessíveis e estar de acordo com os parâmetros de Desenho Universal, previsto pela NBR 9050:2020 e pela Lei nº. 13.146:2015. </w:t>
      </w:r>
    </w:p>
    <w:p w14:paraId="4B160AE7" w14:textId="77777777" w:rsidR="001F1278" w:rsidRDefault="001F127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p>
    <w:p w14:paraId="27AD18EE" w14:textId="77777777" w:rsidR="001F1278" w:rsidRDefault="00000000">
      <w:pPr>
        <w:numPr>
          <w:ilvl w:val="0"/>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PROJETOS ANTERIORES OU ESTUDOS PRELIMINARES QUE EMBASARAM A CONCEPÇÃO PROPOSTA</w:t>
      </w:r>
    </w:p>
    <w:p w14:paraId="36A22C91"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Consta detalhado nos Estudos Técnicos preliminares.</w:t>
      </w:r>
    </w:p>
    <w:p w14:paraId="069482CF" w14:textId="77777777" w:rsidR="001F1278" w:rsidRDefault="001F1278">
      <w:pPr>
        <w:spacing w:line="240" w:lineRule="auto"/>
        <w:jc w:val="both"/>
        <w:rPr>
          <w:rFonts w:ascii="Times New Roman" w:eastAsia="Times New Roman" w:hAnsi="Times New Roman" w:cs="Times New Roman"/>
          <w:sz w:val="24"/>
          <w:szCs w:val="24"/>
        </w:rPr>
      </w:pPr>
    </w:p>
    <w:p w14:paraId="0A6AE14C"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LEVANTAMENTO TOPOGRÁFICO E CADASTRAL</w:t>
      </w:r>
    </w:p>
    <w:p w14:paraId="4151C686" w14:textId="77777777" w:rsidR="001F1278" w:rsidRDefault="00000000">
      <w:p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 ANEXO IV.</w:t>
      </w:r>
    </w:p>
    <w:p w14:paraId="7939D912" w14:textId="77777777" w:rsidR="001F1278" w:rsidRDefault="001F1278">
      <w:pPr>
        <w:spacing w:line="240" w:lineRule="auto"/>
        <w:jc w:val="both"/>
        <w:rPr>
          <w:rFonts w:ascii="Times New Roman" w:eastAsia="Times New Roman" w:hAnsi="Times New Roman" w:cs="Times New Roman"/>
          <w:sz w:val="24"/>
          <w:szCs w:val="24"/>
        </w:rPr>
      </w:pPr>
    </w:p>
    <w:p w14:paraId="3B4971F0"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PARECERES DE SONDAGEM</w:t>
      </w:r>
    </w:p>
    <w:p w14:paraId="0BA4DB55"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 ANEXO V.</w:t>
      </w:r>
    </w:p>
    <w:p w14:paraId="4E7F08DF" w14:textId="77777777" w:rsidR="001F1278" w:rsidRDefault="001F1278">
      <w:pPr>
        <w:spacing w:line="240" w:lineRule="auto"/>
        <w:jc w:val="both"/>
        <w:rPr>
          <w:rFonts w:ascii="Times New Roman" w:eastAsia="Times New Roman" w:hAnsi="Times New Roman" w:cs="Times New Roman"/>
          <w:b/>
          <w:bCs/>
          <w:sz w:val="24"/>
          <w:szCs w:val="24"/>
        </w:rPr>
      </w:pPr>
    </w:p>
    <w:p w14:paraId="7A84274E" w14:textId="77777777" w:rsidR="001F1278" w:rsidRDefault="00000000">
      <w:pPr>
        <w:numPr>
          <w:ilvl w:val="0"/>
          <w:numId w:val="1"/>
        </w:numPr>
        <w:pBdr>
          <w:top w:val="nil"/>
          <w:left w:val="nil"/>
          <w:bottom w:val="nil"/>
          <w:right w:val="nil"/>
          <w:between w:val="nil"/>
        </w:pBdr>
        <w:spacing w:line="360" w:lineRule="auto"/>
        <w:ind w:left="284" w:hanging="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DESENHOS, SOLUÇÕES TÉCNICAS E CRONOGRAMA</w:t>
      </w:r>
    </w:p>
    <w:p w14:paraId="3AE4C270" w14:textId="77777777" w:rsidR="001F1278" w:rsidRDefault="001F1278">
      <w:pPr>
        <w:pBdr>
          <w:top w:val="nil"/>
          <w:left w:val="nil"/>
          <w:bottom w:val="nil"/>
          <w:right w:val="nil"/>
          <w:between w:val="nil"/>
        </w:pBdr>
        <w:spacing w:line="240" w:lineRule="auto"/>
        <w:ind w:left="284"/>
        <w:jc w:val="both"/>
        <w:rPr>
          <w:rFonts w:ascii="Times New Roman" w:eastAsia="Times New Roman" w:hAnsi="Times New Roman" w:cs="Times New Roman"/>
          <w:b/>
          <w:bCs/>
          <w:color w:val="000000"/>
          <w:sz w:val="10"/>
          <w:szCs w:val="10"/>
        </w:rPr>
      </w:pPr>
    </w:p>
    <w:p w14:paraId="75041A20" w14:textId="77777777" w:rsidR="001F1278" w:rsidRDefault="00000000">
      <w:pPr>
        <w:numPr>
          <w:ilvl w:val="1"/>
          <w:numId w:val="1"/>
        </w:numPr>
        <w:pBdr>
          <w:top w:val="nil"/>
          <w:left w:val="nil"/>
          <w:bottom w:val="nil"/>
          <w:right w:val="nil"/>
          <w:between w:val="nil"/>
        </w:pBdr>
        <w:spacing w:line="360" w:lineRule="auto"/>
        <w:ind w:left="426" w:hanging="426"/>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PRAZO DE ENTREGA</w:t>
      </w:r>
    </w:p>
    <w:p w14:paraId="396B3CDB"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Consta em ANEXO VI o Cronograma:</w:t>
      </w:r>
    </w:p>
    <w:p w14:paraId="620A6184" w14:textId="77777777" w:rsidR="001F1278" w:rsidRDefault="00000000">
      <w:pPr>
        <w:spacing w:line="360" w:lineRule="auto"/>
        <w:ind w:firstLine="426"/>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O período de execução do contrato pela CONTRATADA, para elaboração de projetos básico, legal e executivo de arquitetura, complementares de engenharia e finalização da obra deverá ser de 547</w:t>
      </w:r>
      <w:r>
        <w:rPr>
          <w:rFonts w:ascii="Times New Roman" w:eastAsia="Times New Roman" w:hAnsi="Times New Roman" w:cs="Times New Roman"/>
          <w:b/>
          <w:bCs/>
          <w:sz w:val="24"/>
          <w:szCs w:val="24"/>
        </w:rPr>
        <w:t xml:space="preserve"> dias corridos</w:t>
      </w:r>
      <w:r>
        <w:rPr>
          <w:rFonts w:ascii="Times New Roman" w:eastAsia="Times New Roman" w:hAnsi="Times New Roman" w:cs="Times New Roman"/>
          <w:sz w:val="24"/>
          <w:szCs w:val="24"/>
        </w:rPr>
        <w:t xml:space="preserve">, a contar da data de assinatura da Ordem de Serviço, sendo que, dentro desse prazo, o período máximo para elaboração dos projetos será de </w:t>
      </w:r>
      <w:r>
        <w:rPr>
          <w:rFonts w:ascii="Times New Roman" w:eastAsia="Times New Roman" w:hAnsi="Times New Roman" w:cs="Times New Roman"/>
          <w:b/>
          <w:bCs/>
          <w:sz w:val="24"/>
          <w:szCs w:val="24"/>
        </w:rPr>
        <w:t>60 dias corridos.</w:t>
      </w:r>
    </w:p>
    <w:p w14:paraId="434BFB7D"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Como um dos objetivos da CONTRATANTE é a redução de prazos e ganhos de planejamento, é de interesse da Administração que a CONTRATADA, ao elaborar e apresentar </w:t>
      </w:r>
      <w:r>
        <w:rPr>
          <w:rFonts w:ascii="Times New Roman" w:eastAsia="Times New Roman" w:hAnsi="Times New Roman" w:cs="Times New Roman"/>
          <w:sz w:val="24"/>
          <w:szCs w:val="24"/>
        </w:rPr>
        <w:lastRenderedPageBreak/>
        <w:t>seu cronograma físico-financeiro, diminua o prazo de entrega dentro do que julgar exequível conforme sua proposta de técnica construtiva e organização da obra.</w:t>
      </w:r>
    </w:p>
    <w:p w14:paraId="54FBD1E3"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CONTRATADA deverá apresentar seu Cronograma Físico-Financeiro, que passará pela aprovação da CONTRATANTE, e a execução dos serviços deverá seguir este Cronograma aprovado.</w:t>
      </w:r>
    </w:p>
    <w:p w14:paraId="5BAFC562" w14:textId="77777777" w:rsidR="001F1278" w:rsidRDefault="001F1278">
      <w:pPr>
        <w:spacing w:line="240" w:lineRule="auto"/>
        <w:jc w:val="both"/>
        <w:rPr>
          <w:rFonts w:ascii="Times New Roman" w:eastAsia="Times New Roman" w:hAnsi="Times New Roman" w:cs="Times New Roman"/>
          <w:sz w:val="24"/>
          <w:szCs w:val="24"/>
        </w:rPr>
      </w:pPr>
    </w:p>
    <w:p w14:paraId="01342B3B" w14:textId="77777777" w:rsidR="001F1278" w:rsidRDefault="00000000">
      <w:pPr>
        <w:numPr>
          <w:ilvl w:val="1"/>
          <w:numId w:val="1"/>
        </w:numPr>
        <w:pBdr>
          <w:top w:val="nil"/>
          <w:left w:val="nil"/>
          <w:bottom w:val="nil"/>
          <w:right w:val="nil"/>
          <w:between w:val="nil"/>
        </w:pBdr>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ESTÉTICA DO PROJETO ARQUITETÔNICO, TRAÇADO GEOMÉTRICO E/OU PROJETO DA ÁREA DE INFLUÊNCIA</w:t>
      </w:r>
    </w:p>
    <w:p w14:paraId="496B15C1"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estética do projeto arquitetônico deve ser elaborada tendo como referência a estética apresentada no Anteprojeto Arquitetônico em Anexo. </w:t>
      </w:r>
    </w:p>
    <w:p w14:paraId="2C2E641C"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E o padrão de acabamento definido pelo Memorial Descritivo, em ANEXO III. </w:t>
      </w:r>
    </w:p>
    <w:p w14:paraId="0AC340B2"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Também deverá ser observado o Manual de identidade Visual do Fundo Municipal de Educação (conforme o manual de identidade visual em ANEXO VII). </w:t>
      </w:r>
    </w:p>
    <w:p w14:paraId="7F959AD1"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estética final e padrões de acabamento poderão ser adequados pela empresa CONTRATADA, desde que autorizado pelo órgão ou entidade CONTRATANTE.</w:t>
      </w:r>
    </w:p>
    <w:p w14:paraId="29613FEF" w14:textId="77777777" w:rsidR="001F1278" w:rsidRDefault="001F127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p>
    <w:p w14:paraId="12DE7EFB" w14:textId="77777777" w:rsidR="001F1278" w:rsidRDefault="00000000">
      <w:pPr>
        <w:numPr>
          <w:ilvl w:val="1"/>
          <w:numId w:val="1"/>
        </w:numPr>
        <w:pBdr>
          <w:top w:val="nil"/>
          <w:left w:val="nil"/>
          <w:bottom w:val="nil"/>
          <w:right w:val="nil"/>
          <w:between w:val="nil"/>
        </w:pBdr>
        <w:spacing w:line="360" w:lineRule="auto"/>
        <w:ind w:left="426" w:hanging="426"/>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PROPOSTA DE CONCEPÇÃO DA OBRA OU DO SERVIÇO DE ENGENHARIA</w:t>
      </w:r>
    </w:p>
    <w:p w14:paraId="7CBA1DC6"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 propostas de concepção e desenhos preliminares estão em Anexo – anteprojeto de arquitetura.</w:t>
      </w:r>
    </w:p>
    <w:p w14:paraId="0B1536C9" w14:textId="77777777" w:rsidR="001F1278" w:rsidRDefault="001F1278">
      <w:pPr>
        <w:spacing w:line="240" w:lineRule="auto"/>
        <w:ind w:firstLine="426"/>
        <w:jc w:val="both"/>
        <w:rPr>
          <w:rFonts w:ascii="Times New Roman" w:eastAsia="Times New Roman" w:hAnsi="Times New Roman" w:cs="Times New Roman"/>
          <w:sz w:val="24"/>
          <w:szCs w:val="24"/>
        </w:rPr>
      </w:pPr>
    </w:p>
    <w:p w14:paraId="47E36841" w14:textId="77777777" w:rsidR="001F1278" w:rsidRDefault="00000000">
      <w:pPr>
        <w:numPr>
          <w:ilvl w:val="1"/>
          <w:numId w:val="1"/>
        </w:numPr>
        <w:pBdr>
          <w:top w:val="nil"/>
          <w:left w:val="nil"/>
          <w:bottom w:val="nil"/>
          <w:right w:val="nil"/>
          <w:between w:val="nil"/>
        </w:pBdr>
        <w:spacing w:line="360" w:lineRule="auto"/>
        <w:ind w:left="426" w:hanging="426"/>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MEMORIAL DESCRITIVO</w:t>
      </w:r>
    </w:p>
    <w:p w14:paraId="7A235808"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Consta em ANEXO III.</w:t>
      </w:r>
    </w:p>
    <w:p w14:paraId="38F5239E" w14:textId="77777777" w:rsidR="001F1278" w:rsidRDefault="001F1278">
      <w:pPr>
        <w:spacing w:line="240" w:lineRule="auto"/>
        <w:jc w:val="both"/>
        <w:rPr>
          <w:rFonts w:ascii="Times New Roman" w:eastAsia="Times New Roman" w:hAnsi="Times New Roman" w:cs="Times New Roman"/>
          <w:sz w:val="24"/>
          <w:szCs w:val="24"/>
        </w:rPr>
      </w:pPr>
    </w:p>
    <w:p w14:paraId="2F642FDA" w14:textId="77777777" w:rsidR="001F1278" w:rsidRDefault="00000000">
      <w:pPr>
        <w:numPr>
          <w:ilvl w:val="0"/>
          <w:numId w:val="1"/>
        </w:numPr>
        <w:pBdr>
          <w:top w:val="nil"/>
          <w:left w:val="nil"/>
          <w:bottom w:val="nil"/>
          <w:right w:val="nil"/>
          <w:between w:val="nil"/>
        </w:pBdr>
        <w:spacing w:line="360" w:lineRule="auto"/>
        <w:ind w:left="284" w:hanging="284"/>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ASPECTOS JURÍDICOS – ADMINISTRATIVOS</w:t>
      </w:r>
    </w:p>
    <w:p w14:paraId="318C94AA" w14:textId="77777777" w:rsidR="001F1278" w:rsidRDefault="00000000">
      <w:pPr>
        <w:numPr>
          <w:ilvl w:val="1"/>
          <w:numId w:val="1"/>
        </w:numPr>
        <w:pBdr>
          <w:top w:val="nil"/>
          <w:left w:val="nil"/>
          <w:bottom w:val="nil"/>
          <w:right w:val="nil"/>
          <w:between w:val="nil"/>
        </w:pBdr>
        <w:spacing w:line="360" w:lineRule="auto"/>
        <w:ind w:left="426" w:hanging="426"/>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CONDIÇÕES GERAIS DA CONTRATAÇÃO</w:t>
      </w:r>
    </w:p>
    <w:p w14:paraId="793008C2"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Constitui-se o Projeto Básico objetivando concorrência por menor preço global para a realização de contratação de empresa especializada em Construção Civil para obra especial de engenharia, visando a realização da demolição do atual prédio do Colégio Municipal João Torres, a terraplanagem em 60 cm do terreno e a construção de um novo prédio de alvenaria. Sob a coordenação da Diretoria de Engenharia do Fundo Municipal de Educação. O Regime de execução adotado será a contratação Semi – Integrada, com modo de disputa aberto.</w:t>
      </w:r>
    </w:p>
    <w:p w14:paraId="42CCF3DC" w14:textId="77777777" w:rsidR="001F1278" w:rsidRDefault="001F1278">
      <w:pPr>
        <w:spacing w:line="240" w:lineRule="auto"/>
        <w:jc w:val="both"/>
        <w:rPr>
          <w:rFonts w:ascii="Times New Roman" w:eastAsia="Times New Roman" w:hAnsi="Times New Roman" w:cs="Times New Roman"/>
          <w:color w:val="073763"/>
          <w:sz w:val="24"/>
          <w:szCs w:val="24"/>
        </w:rPr>
      </w:pPr>
    </w:p>
    <w:p w14:paraId="4BB422A7"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CLASSIFICAÇÃO DO OBJETO QUANTO À HETEROGENEIDADE OU COMPLEXIDADE</w:t>
      </w:r>
    </w:p>
    <w:p w14:paraId="58A23171"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presente contratação estará caracterizada como serviço especial de obra. Para isto, foi utilizado como base a IN 001/2021 IBRAOP que traz a definição de serviço de Engenharia:</w:t>
      </w:r>
    </w:p>
    <w:p w14:paraId="614F8E8C"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Serviço especial de engenharia: aquele que, por sua alta heterogeneidade ou complexidade, não pode se enquadrar na definição constante da alínea “a” deste inciso; (art. 6º, inciso XXI).</w:t>
      </w:r>
    </w:p>
    <w:p w14:paraId="441C6A2D" w14:textId="77777777" w:rsidR="001F1278" w:rsidRDefault="00000000">
      <w:pPr>
        <w:spacing w:line="360" w:lineRule="auto"/>
        <w:ind w:left="3969"/>
        <w:jc w:val="both"/>
        <w:rPr>
          <w:rFonts w:ascii="Times New Roman" w:eastAsia="Times New Roman" w:hAnsi="Times New Roman" w:cs="Times New Roman"/>
          <w:i/>
          <w:iCs/>
        </w:rPr>
      </w:pPr>
      <w:r>
        <w:rPr>
          <w:rFonts w:ascii="Times New Roman" w:eastAsia="Times New Roman" w:hAnsi="Times New Roman" w:cs="Times New Roman"/>
          <w:i/>
          <w:iCs/>
        </w:rPr>
        <w:t>“... As obras especiais de engenharia são aquelas obras de alta complexidade, quase sempre de grande porte e elevado risco, para as quais é preciso estabelecer com maior cuidado as especificações técnicas, os memoriais descritivos dos serviços e os respectivos padrões de qualidade desejados pela Administração. São aquelas cujos materiais, equipamentos e métodos construtivos costumam ser de domínio restrito no mercado ou apresentam elevado nível de inovação tecnológica, para as quais exista um menor número de potenciais fornecedores e executores (empresas e profissionais) no mercado local ou regional.”</w:t>
      </w:r>
    </w:p>
    <w:p w14:paraId="1122079C"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As obras especiais de engenharia são notadamente as (i) de elevada complexidade, (ii) grande vulto (materialidade do valor estimado), (iii) que podem empregar tecnologias de domínio restrito no mercado, (iv) com poucas empresas aptas a executar o objeto.</w:t>
      </w:r>
    </w:p>
    <w:p w14:paraId="618A952E"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execução da obra de demolição, terraplanagem e reconstrução do Colégio Municipal João Torres configura-se como uma obra especial de engenharia, conforme critérios técnicos e jurídicos estabelecidos pela Lei Federal nº 14.133/2021 e pela Nota Técnica IBR 001/2021 do Instituto Brasileiro de Auditoria de Obras Públicas (IBRAOP).</w:t>
      </w:r>
    </w:p>
    <w:p w14:paraId="1C89F7AE"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intervenção proposta compreende a demolição integral da edificação existente, incluindo a destinação e o descarte adequado dos resíduos sólidos gerados; a terraplanagem do terreno com a elevação do nível do solo em 60 cm acima do nível do mar, visando garantir segurança contra possíveis alagamentos e adequação à topografia e à infraestrutura urbana; e a construção de uma nova unidade escolar moderna, acessível e funcional, a partir de diretrizes definidas em projeto básico, sob regime de contratação semi-integrada, conforme o artigo 46 da Lei nº 14.133/2021.</w:t>
      </w:r>
    </w:p>
    <w:p w14:paraId="73EF8C40" w14:textId="77777777" w:rsidR="001F1278" w:rsidRDefault="00000000">
      <w:pPr>
        <w:numPr>
          <w:ilvl w:val="3"/>
          <w:numId w:val="1"/>
        </w:numPr>
        <w:pBdr>
          <w:top w:val="nil"/>
          <w:left w:val="nil"/>
          <w:bottom w:val="nil"/>
          <w:right w:val="nil"/>
          <w:between w:val="nil"/>
        </w:pBdr>
        <w:tabs>
          <w:tab w:val="left" w:pos="0"/>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 escolha pelo regime semi-integrado transfere à contratada a responsabilidade pela elaboração do projeto executivo com base nas diretrizes fornecidas pela Administração, exigindo, portanto, elevado grau de capacitação técnica e a capacidade de propor soluções adequadas aos desafios do terreno e às necessidades da comunidade escolar. Tal classificação como obra especial de engenharia justifica-se por diversos fatores, entre eles a ausência de sondagens detalhadas do subsolo, sendo atribuição da contratada a realização de investigações geotécnicas aprofundadas para embasar a definição dos projetos estruturais e de fundação.</w:t>
      </w:r>
    </w:p>
    <w:p w14:paraId="47E45C60" w14:textId="77777777" w:rsidR="001F1278" w:rsidRDefault="00000000">
      <w:pPr>
        <w:numPr>
          <w:ilvl w:val="3"/>
          <w:numId w:val="1"/>
        </w:numPr>
        <w:pBdr>
          <w:top w:val="nil"/>
          <w:left w:val="nil"/>
          <w:bottom w:val="nil"/>
          <w:right w:val="nil"/>
          <w:between w:val="nil"/>
        </w:pBdr>
        <w:tabs>
          <w:tab w:val="left" w:pos="0"/>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Diante da magnitude da intervenção e do grau de responsabilidade técnica atribuído à contratada, a obra enquadra-se nos parâmetros de uma obra especial de engenharia, nos termos do artigo 6º, inciso XXI, da Lei nº 14.133/2021. Essa classificação é essencial para assegurar uma licitação tecnicamente qualificada, com mitigação de riscos técnicos e jurídicos, além da entrega de uma edificação que atenda aos padrões exigidos de segurança, durabilidade e funcionalidade.</w:t>
      </w:r>
    </w:p>
    <w:p w14:paraId="1EB8A2B9" w14:textId="77777777" w:rsidR="001F1278" w:rsidRDefault="001F1278">
      <w:pPr>
        <w:spacing w:line="240" w:lineRule="auto"/>
        <w:jc w:val="both"/>
        <w:rPr>
          <w:rFonts w:ascii="Times New Roman" w:eastAsia="Times New Roman" w:hAnsi="Times New Roman" w:cs="Times New Roman"/>
          <w:color w:val="073763"/>
          <w:sz w:val="24"/>
          <w:szCs w:val="24"/>
        </w:rPr>
      </w:pPr>
    </w:p>
    <w:p w14:paraId="2C475080" w14:textId="77777777" w:rsidR="001F1278" w:rsidRDefault="00000000">
      <w:pPr>
        <w:numPr>
          <w:ilvl w:val="2"/>
          <w:numId w:val="1"/>
        </w:numPr>
        <w:pBdr>
          <w:top w:val="nil"/>
          <w:left w:val="nil"/>
          <w:bottom w:val="nil"/>
          <w:right w:val="nil"/>
          <w:between w:val="nil"/>
        </w:pBdr>
        <w:spacing w:line="360" w:lineRule="auto"/>
        <w:ind w:left="567" w:hanging="567"/>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PRAZO DE VIGÊNCIA</w:t>
      </w:r>
    </w:p>
    <w:p w14:paraId="46E8084E"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serviços deverão ser efetuados observando o Cronograma de Execução, sob pena de rescisão contratual e aplicação das penalidades sobre inadimplemento previstas neste Projeto Básico e no contrato.</w:t>
      </w:r>
    </w:p>
    <w:p w14:paraId="4E936EF4" w14:textId="77777777" w:rsidR="001F1278" w:rsidRDefault="00000000">
      <w:pPr>
        <w:numPr>
          <w:ilvl w:val="3"/>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prazo de execução será de 18 meses, e a vigência contratual de 20 meses.</w:t>
      </w:r>
    </w:p>
    <w:p w14:paraId="09145F96" w14:textId="77777777" w:rsidR="001F1278" w:rsidRDefault="001F1278">
      <w:pPr>
        <w:spacing w:line="240" w:lineRule="auto"/>
        <w:jc w:val="both"/>
        <w:rPr>
          <w:rFonts w:ascii="Times New Roman" w:eastAsia="Times New Roman" w:hAnsi="Times New Roman" w:cs="Times New Roman"/>
          <w:color w:val="073763"/>
          <w:sz w:val="24"/>
          <w:szCs w:val="24"/>
        </w:rPr>
      </w:pPr>
    </w:p>
    <w:p w14:paraId="6DA3A1E8"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FUNDAMENTAÇÃO E DESCRIÇÃO DA NECESSIDADE DA CONTRATAÇÃO</w:t>
      </w:r>
    </w:p>
    <w:p w14:paraId="398725C3"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presente contratação tem como fundamento o Estudo Técnico Preliminar. A contratação pretendida está alinhada ao </w:t>
      </w:r>
      <w:r>
        <w:rPr>
          <w:rFonts w:ascii="Times New Roman" w:eastAsia="Times New Roman" w:hAnsi="Times New Roman" w:cs="Times New Roman"/>
          <w:b/>
          <w:bCs/>
          <w:sz w:val="24"/>
          <w:szCs w:val="24"/>
        </w:rPr>
        <w:t>PCA 2025</w:t>
      </w:r>
      <w:r>
        <w:rPr>
          <w:rFonts w:ascii="Times New Roman" w:eastAsia="Times New Roman" w:hAnsi="Times New Roman" w:cs="Times New Roman"/>
          <w:sz w:val="24"/>
          <w:szCs w:val="24"/>
        </w:rPr>
        <w:t xml:space="preserve">, do </w:t>
      </w:r>
      <w:r>
        <w:rPr>
          <w:rFonts w:ascii="Times New Roman" w:eastAsia="Times New Roman" w:hAnsi="Times New Roman" w:cs="Times New Roman"/>
          <w:b/>
          <w:bCs/>
          <w:sz w:val="24"/>
          <w:szCs w:val="24"/>
        </w:rPr>
        <w:t>Fundo Municipal de Educação</w:t>
      </w:r>
      <w:r>
        <w:rPr>
          <w:rFonts w:ascii="Times New Roman" w:eastAsia="Times New Roman" w:hAnsi="Times New Roman" w:cs="Times New Roman"/>
          <w:sz w:val="24"/>
          <w:szCs w:val="24"/>
        </w:rPr>
        <w:t xml:space="preserve"> e no </w:t>
      </w:r>
      <w:r>
        <w:rPr>
          <w:rFonts w:ascii="Times New Roman" w:eastAsia="Times New Roman" w:hAnsi="Times New Roman" w:cs="Times New Roman"/>
          <w:b/>
          <w:bCs/>
          <w:sz w:val="24"/>
          <w:szCs w:val="24"/>
        </w:rPr>
        <w:t>PPA</w:t>
      </w:r>
      <w:r>
        <w:rPr>
          <w:rFonts w:ascii="Times New Roman" w:eastAsia="Times New Roman" w:hAnsi="Times New Roman" w:cs="Times New Roman"/>
          <w:sz w:val="24"/>
          <w:szCs w:val="24"/>
        </w:rPr>
        <w:t xml:space="preserve"> deste mesmo órgão, onde estão definidas as ações estratégicas ao alcance dos objetivos institucionais, primando pela eficácia, eficiência e efetividade dos respectivos projetos e processo.</w:t>
      </w:r>
    </w:p>
    <w:p w14:paraId="10C073A6"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Setor Pedagógico do FME, por meio da Subsecretaria de Infraestrutura, pretende encontrar método e solução viável para que o Colégio Municipal João Torres se torne uma sede que venha a comportar integralmente as demandas de serviços e pedagógicas atuais da referida unidade escolar.</w:t>
      </w:r>
    </w:p>
    <w:p w14:paraId="4221578F"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colégio Municipal João Torres, enfrenta diversos problemas relacionados a sua atual estrutura, onde comprometem diretamente o funcionamento adequado das atividades escolares </w:t>
      </w:r>
      <w:r>
        <w:rPr>
          <w:rFonts w:ascii="Times New Roman" w:eastAsia="Times New Roman" w:hAnsi="Times New Roman" w:cs="Times New Roman"/>
          <w:sz w:val="24"/>
          <w:szCs w:val="24"/>
        </w:rPr>
        <w:lastRenderedPageBreak/>
        <w:t>atendidas e o bem-estar de alunos, professores e demais servidores. Dentre as elencadas dificuldades enfrentadas está a precariedade da infraestrutura física, sendo agravada pela ausência de reformas estruturais ao longo dos anos, além disso, enfrenta diversos problemas relacionados a inundações devido aos dias chuvosos.</w:t>
      </w:r>
    </w:p>
    <w:p w14:paraId="1428E1E4"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 períodos de fortes chuvas, o Colégio Municipal João Torres sofre com alagamentos, prejudicando o acesso e principalmente a segurança de toda a comunidade escolar. Entre esses problemas cabe citar, que o Colégio conta com as goteiras presentes nas salas de aula e em outros ambientes comprometendo o uso adequado dos espaços, colocando em risco os materiais pedagógicos e dificultando o processo de ensino/aprendizagem. Além disso, devido os problemas elencados acima, a deterioração de paredes, instalações elétricas/hidráulicas e pisos são umas das consequências, evidenciando o desgaste da construção.</w:t>
      </w:r>
    </w:p>
    <w:p w14:paraId="7F6EB29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 problemas elencados acima, é de extrema importância ressaltar o fator da obsolescência. O Colégio Municipal João Torres, não contou com maiores intervenções e nem melhorias em suas estruturas, tendo sua estrutura antiga e impossibilitando de atender os objetivos de modernização que norteiam o FME em suas pautas.</w:t>
      </w:r>
    </w:p>
    <w:p w14:paraId="54C6C8C9"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Contudo, a presente contratação deverá atender, além dos requisitos específicos estabelecidos neste documento, a formalização de contrato que garanta a economicidade, eficácia, eficiência e melhor aproveitamento dos recursos materiais e/ou financeiros da administração pública.</w:t>
      </w:r>
    </w:p>
    <w:p w14:paraId="6911B72F"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Além disso, pretende-se que a contratação seja capaz de proporcionar ambiente escolar adequado aos servidores e alunos que frequentarão estas unidades. Além disso, a pretensão de fazer com o Colégio não venha mais a sofre com inundações em dias chuvosos, dirimindo os seguintes problemas atuais:</w:t>
      </w:r>
    </w:p>
    <w:p w14:paraId="67AD830D"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Ausência de correta adequação aos critérios comuns de acessibilidade;</w:t>
      </w:r>
    </w:p>
    <w:p w14:paraId="06898908"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Ausência de espaço ideal para a prática de esportes e Educação Física;</w:t>
      </w:r>
    </w:p>
    <w:p w14:paraId="655A9C52"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Necessidade de trazer ao prédio padrões modernos, adaptados à realidade dos prédios atuais do FME;</w:t>
      </w:r>
    </w:p>
    <w:p w14:paraId="602BDA44"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Proporcionar espaços adequados para bem atender a demanda de expansão do Fundo Municipal de Educação prevista para esta Unidade Escolar;</w:t>
      </w:r>
    </w:p>
    <w:p w14:paraId="0D6152CD"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Proporcionar estrutura adequada às práticas pedagógicas e demais atividades nas Unidades Escolares, evitando possíveis insalubridades e proporcionando maior qualidade ao ensino, aprendizagem e trabalho;</w:t>
      </w:r>
    </w:p>
    <w:p w14:paraId="69B22BC2"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Proporcionar que as unidades escolares possuam estruturas em boas condições e que não estejam obsoletas;</w:t>
      </w:r>
    </w:p>
    <w:p w14:paraId="73458E89"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Proporcionar acessibilidade as Unidades Escolares do Fundo Municipal de Educação, fazer com que as escolas sejam espaço inclusivo e acessível para todos os alunos e profissionais da rede;</w:t>
      </w:r>
    </w:p>
    <w:p w14:paraId="4E7A0E89"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Evitar alagamentos na Unidade Escolar devido às fortes chuvas que ocorrem durante o ano;</w:t>
      </w:r>
    </w:p>
    <w:p w14:paraId="3B8C85D8"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Expansão da Unidade Escolar para que atenda integralmente o crescimento anual;</w:t>
      </w:r>
    </w:p>
    <w:p w14:paraId="18F794C6" w14:textId="77777777" w:rsidR="001F1278" w:rsidRDefault="00000000">
      <w:pPr>
        <w:numPr>
          <w:ilvl w:val="0"/>
          <w:numId w:val="7"/>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Instituir na Unidade Escolar a modalidade do Ensino Integral.</w:t>
      </w:r>
    </w:p>
    <w:p w14:paraId="6D133995" w14:textId="77777777" w:rsidR="001F1278" w:rsidRDefault="001F1278">
      <w:pPr>
        <w:spacing w:line="240" w:lineRule="auto"/>
        <w:jc w:val="both"/>
        <w:rPr>
          <w:rFonts w:ascii="Times New Roman" w:eastAsia="Times New Roman" w:hAnsi="Times New Roman" w:cs="Times New Roman"/>
          <w:sz w:val="24"/>
          <w:szCs w:val="24"/>
        </w:rPr>
      </w:pPr>
    </w:p>
    <w:p w14:paraId="1594F82D" w14:textId="77777777" w:rsidR="001F1278" w:rsidRDefault="00000000">
      <w:pPr>
        <w:numPr>
          <w:ilvl w:val="0"/>
          <w:numId w:val="1"/>
        </w:numPr>
        <w:pBdr>
          <w:top w:val="nil"/>
          <w:left w:val="nil"/>
          <w:bottom w:val="nil"/>
          <w:right w:val="nil"/>
          <w:between w:val="nil"/>
        </w:pBdr>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DESCRIÇÃO DA SOLUÇÃO COMO UM TODO CONSIDERANDO O </w:t>
      </w:r>
      <w:r>
        <w:rPr>
          <w:rFonts w:ascii="Times New Roman" w:eastAsia="Times New Roman" w:hAnsi="Times New Roman" w:cs="Times New Roman"/>
          <w:b/>
          <w:bCs/>
          <w:sz w:val="24"/>
          <w:szCs w:val="24"/>
        </w:rPr>
        <w:t>CICLO</w:t>
      </w:r>
      <w:r>
        <w:rPr>
          <w:rFonts w:ascii="Times New Roman" w:eastAsia="Times New Roman" w:hAnsi="Times New Roman" w:cs="Times New Roman"/>
          <w:b/>
          <w:bCs/>
          <w:color w:val="000000"/>
          <w:sz w:val="24"/>
          <w:szCs w:val="24"/>
        </w:rPr>
        <w:t xml:space="preserve"> DE VIDA DO OBJETO</w:t>
      </w:r>
    </w:p>
    <w:p w14:paraId="0F019152"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serviços pretendidos para atender a demanda apresentada incluem serviços de demolição do atual prédio, terraplanagem, montagem e desmontagem de andaimes, construção de paredes, lajes, construção de quadra, entre outros.</w:t>
      </w:r>
    </w:p>
    <w:p w14:paraId="4A30A864"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Será realizado a demolição do atual prédio que se encontra o Colégio Municipal João Torres, a construção de um novo prédio, no mesmo terreno, visando proporcionar melhorias na acessibilidade, quantitativo maior de vagas devido a taxa média anual de crescimento e a implementação do Ensino Integral, conforto para os alunos e profissionais, além disso, proporcionar segurança para os mesmos.</w:t>
      </w:r>
    </w:p>
    <w:p w14:paraId="47B8E79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Além disso, conforme anexo do DOD, para que comporte a pretensa taxa média anual de crescimento, o Colégio Municipal João Torres irá contar aproximadamente 37 salas de aula para o Ensino Fundamental I, além de refeitórios, áreas de circulação, banheiros e demais salas.</w:t>
      </w:r>
    </w:p>
    <w:p w14:paraId="1B9A1900" w14:textId="77777777" w:rsidR="001F1278" w:rsidRDefault="001F1278">
      <w:pPr>
        <w:spacing w:line="240" w:lineRule="auto"/>
        <w:jc w:val="both"/>
        <w:rPr>
          <w:rFonts w:ascii="Times New Roman" w:eastAsia="Times New Roman" w:hAnsi="Times New Roman" w:cs="Times New Roman"/>
          <w:sz w:val="24"/>
          <w:szCs w:val="24"/>
        </w:rPr>
      </w:pPr>
    </w:p>
    <w:p w14:paraId="01BDD9DD"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REQUISITOS DA CONTRATAÇÃO</w:t>
      </w:r>
    </w:p>
    <w:p w14:paraId="6B5BA3FC"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SUSTENTABILIDADE</w:t>
      </w:r>
    </w:p>
    <w:p w14:paraId="35AEFD4D"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contratada deverá cumprir as orientações da Instrução Normativa/SLTI-MP nº 01, referente aos critérios de Sustentabilidade Ambiental, em seus artigos 5º e 6º, no que couber.</w:t>
      </w:r>
    </w:p>
    <w:p w14:paraId="15383C08" w14:textId="77777777" w:rsidR="001F1278" w:rsidRDefault="00000000">
      <w:pPr>
        <w:tabs>
          <w:tab w:val="left" w:pos="426"/>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Serão incluídas como obrigação da contratada critérios e práticas de sustentabilidade a serem veiculados como especificação técnica do objeto, se for o caso (Instrução Normativa nº 01 de 19 de janeiro de 2010). </w:t>
      </w:r>
    </w:p>
    <w:p w14:paraId="2963B634"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caso de descarte e destinação ambientalmente adequada dos inservíveis, eventualmente utilizados e/ou substituídos na execução dos serviços, a contratada deverá proceder ao descarte e destinação ecologicamente correta.</w:t>
      </w:r>
    </w:p>
    <w:p w14:paraId="7151C4AD"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destinação final será responsabilidade da contratada e deverá ser realizada de acordo com a Lei nº 12.305/2010 e o Decreto nº 10.936/2022.</w:t>
      </w:r>
    </w:p>
    <w:p w14:paraId="68F30E3E"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contratada deverá receber da Diretoria de Engenharia do Fundo Municipal de Educação os objetos inservíveis, para repasse aos respectivos fabricantes ou importadores, a fim de garantir a sua reutilização ou descarte sustentável, nos termos da Lei nº 12.305/2010.</w:t>
      </w:r>
    </w:p>
    <w:p w14:paraId="4F7641D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Todos os custos referentes ao recebimento de inservíveis, tais como coleta, transporte, recebimento e manuseio, correrão por conta da contratada. </w:t>
      </w:r>
    </w:p>
    <w:p w14:paraId="06C94687"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Decreto Nº 10.936, de 12 de janeiro de 2022 - Regulamenta a Lei nº 12.305, de 2 de agosto de 2010, que institui a Política Nacional de Resíduos Sólidos.</w:t>
      </w:r>
    </w:p>
    <w:p w14:paraId="72A365F5"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Caberá à contratada apresentar todos os certificados de licença de funcionamento ou de autorização especial, emitido pelos órgãos ou entidades competentes, necessários para a execução do objeto, bem como atender a todas as demais legislações pertinentes.</w:t>
      </w:r>
    </w:p>
    <w:p w14:paraId="018B5BB3" w14:textId="77777777" w:rsidR="001F1278" w:rsidRDefault="00000000">
      <w:pPr>
        <w:spacing w:line="36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Além destas, devem ser seguidas também as demais regulamentações: </w:t>
      </w:r>
    </w:p>
    <w:p w14:paraId="5A498086"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ABNT NBR 15114: Resíduos sólidos da construção civil – áreas de reciclagem.</w:t>
      </w:r>
    </w:p>
    <w:p w14:paraId="50D46BBF"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Resolução CONAMA 307: Dispõe sobre os critérios e procedimentos para a gestão dos resíduos da construção civil.</w:t>
      </w:r>
    </w:p>
    <w:p w14:paraId="0036663E"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NBR 10004: Resíduos Sólidos – Classificação. Classifica os resíduos sólidos gerados na construção civil, incluindo inservíveis, e define critérios para o descarte.</w:t>
      </w:r>
    </w:p>
    <w:p w14:paraId="41FD028F"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SUBCONTRATAÇÃO</w:t>
      </w:r>
    </w:p>
    <w:p w14:paraId="2257FDF8"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Em conformidade com o art. 122 da Lei 14.133/2021 segue os parâmetros deste Projeto Básico em relação a subcontratação:</w:t>
      </w:r>
    </w:p>
    <w:p w14:paraId="24B6E90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subcontratação depende da autorização prévia da CONTRATANTE, a quem incube avaliar se a subcontratada cumpre os requisitos de qualificação técnica necessários para a execução do objeto.</w:t>
      </w:r>
    </w:p>
    <w:p w14:paraId="1816E539"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41648536"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Fica vedada a subcontratação dos itens classificados como parcelas de maior relevância da contratação. Desta forma, observa-se que não podem ser subcontratados nenhum dos itens presentes na Parcela de Maior Relevância deste Projeto Básico. Da mesma forma, fica restringida a subcontratação a um limite máximo de 30% do valor global que será homologado futuramente neste processo, após certame licitatório.</w:t>
      </w:r>
    </w:p>
    <w:p w14:paraId="485749B9" w14:textId="77777777" w:rsidR="001F1278" w:rsidRDefault="001F1278">
      <w:pPr>
        <w:spacing w:line="240" w:lineRule="auto"/>
        <w:ind w:firstLine="426"/>
        <w:jc w:val="both"/>
        <w:rPr>
          <w:rFonts w:ascii="Times New Roman" w:eastAsia="Times New Roman" w:hAnsi="Times New Roman" w:cs="Times New Roman"/>
          <w:sz w:val="24"/>
          <w:szCs w:val="24"/>
        </w:rPr>
      </w:pPr>
    </w:p>
    <w:p w14:paraId="57B427A1" w14:textId="77777777" w:rsidR="001F1278" w:rsidRDefault="00000000">
      <w:pPr>
        <w:numPr>
          <w:ilvl w:val="0"/>
          <w:numId w:val="1"/>
        </w:numPr>
        <w:pBdr>
          <w:top w:val="nil"/>
          <w:left w:val="nil"/>
          <w:bottom w:val="nil"/>
          <w:right w:val="nil"/>
          <w:between w:val="nil"/>
        </w:pBdr>
        <w:tabs>
          <w:tab w:val="left" w:pos="426"/>
        </w:tabs>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QUALIFICAÇÃO E HABILITAÇÃO</w:t>
      </w:r>
    </w:p>
    <w:p w14:paraId="35613B22" w14:textId="77777777" w:rsidR="001F1278" w:rsidRDefault="00000000">
      <w:pPr>
        <w:tabs>
          <w:tab w:val="left" w:pos="426"/>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A habilitação requisitada será a prevista no art. 62 da Lei nº 14.133/2021. Sendo obrigatório às licitantes, desta forma, demonstrar no mínimo 50% das parcelas de maior relevância para comprovação de capacidade técnica, jurídica, fiscal social e trabalhista, além da econômico-financeira. </w:t>
      </w:r>
    </w:p>
    <w:p w14:paraId="6E26538D" w14:textId="77777777" w:rsidR="001F1278" w:rsidRDefault="001F1278">
      <w:pPr>
        <w:pBdr>
          <w:top w:val="nil"/>
          <w:left w:val="nil"/>
          <w:bottom w:val="nil"/>
          <w:right w:val="nil"/>
          <w:between w:val="nil"/>
        </w:pBdr>
        <w:tabs>
          <w:tab w:val="left" w:pos="426"/>
          <w:tab w:val="left" w:pos="567"/>
        </w:tabs>
        <w:spacing w:line="240" w:lineRule="auto"/>
        <w:jc w:val="both"/>
        <w:rPr>
          <w:rFonts w:ascii="Times New Roman" w:eastAsia="Times New Roman" w:hAnsi="Times New Roman" w:cs="Times New Roman"/>
          <w:b/>
          <w:bCs/>
          <w:color w:val="000000"/>
          <w:sz w:val="16"/>
          <w:szCs w:val="16"/>
        </w:rPr>
      </w:pPr>
    </w:p>
    <w:p w14:paraId="4F603E02" w14:textId="77777777" w:rsidR="001F1278" w:rsidRDefault="00000000">
      <w:pPr>
        <w:numPr>
          <w:ilvl w:val="1"/>
          <w:numId w:val="1"/>
        </w:numPr>
        <w:pBdr>
          <w:top w:val="nil"/>
          <w:left w:val="nil"/>
          <w:bottom w:val="nil"/>
          <w:right w:val="nil"/>
          <w:between w:val="nil"/>
        </w:pBdr>
        <w:tabs>
          <w:tab w:val="left" w:pos="426"/>
          <w:tab w:val="left" w:pos="567"/>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 xml:space="preserve"> HABILITAÇÃO TÉCNICA</w:t>
      </w:r>
      <w:r>
        <w:rPr>
          <w:rFonts w:ascii="Times New Roman" w:eastAsia="Times New Roman" w:hAnsi="Times New Roman" w:cs="Times New Roman"/>
          <w:b/>
          <w:bCs/>
          <w:color w:val="000000"/>
          <w:sz w:val="24"/>
          <w:szCs w:val="24"/>
        </w:rPr>
        <w:tab/>
      </w:r>
    </w:p>
    <w:p w14:paraId="3A37C13F"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Certidão de registro de pessoa jurídica no Conselho Regional de Engenharia e Agronomia (CREA) ou no Conselho Regional de Arquitetura e Urbanismo (CAU) em nome da licitante, com validade na data do certame, com habilitação para execução de obras civis, emitida pelo respectivo Conselho da jurisdição da sede da empresa licitante.</w:t>
      </w:r>
    </w:p>
    <w:p w14:paraId="07FD64A8"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Capacitação técnica: Atestado fornecido por pessoa jurídica de direito público ou privado, devidamente registrado no CREA e/ou CAU acompanhado da respectiva Certidão de Acervo Técnico (CAT) emitida pelo Conselho respectivo, demonstrando a capacidade técnica do profissional na execução da obra. Sendo compatível com as parcelas de maior relevância.</w:t>
      </w:r>
    </w:p>
    <w:p w14:paraId="1F0B418C"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 caso de consórcio é admitida, para efeito de habilitação técnica, o somatório dos quantitativos de cada consorciado.</w:t>
      </w:r>
    </w:p>
    <w:p w14:paraId="0DDE5A66"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Certidão de registro de pessoa física no CREA ou CAU, em nome de cada profissional detentor do atestado apresentado para comprovação da capacitação técnica, com validade na data da licitação, emitida pelo respectivo Conselho.</w:t>
      </w:r>
    </w:p>
    <w:p w14:paraId="263EB9EC"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Responsável técnico: certidão de registro de profissional junto ao CREA ou CAU.</w:t>
      </w:r>
    </w:p>
    <w:p w14:paraId="4F6F556C"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Será admitida a apresentação de atestados em nome de mais de um profissional.</w:t>
      </w:r>
    </w:p>
    <w:p w14:paraId="7D2CDD08"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profissionais indicados pelo licitante para fins de comprovação da capacitação técnica de que trata o inciso I do art. 67 da Lei Federal 14.133/2021, deverão participar da obra ou serviço objeto da licitação, admitindo-se a sua substituição por profissionais de experiência equivalente ou superior, desde que aprovada pela administração, de acordo com o art.67, § 6º da Lei Federal 14.133/2021.</w:t>
      </w:r>
    </w:p>
    <w:p w14:paraId="3D288314"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Declaração de Visita Técnica dando ciência de que visitou os locais indicados para execução do objeto ou Declaração de pleno conhecimento do objeto para os licitantes que optarem pela não realização da visita técnica deverão apresentar declaração.</w:t>
      </w:r>
    </w:p>
    <w:p w14:paraId="563963D1"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Antes da apresentação de suas propostas, as licitantes poderão tomar conhecimento das normas e diretrizes da Secretaria Solicitante relacionadas com o presente edital, providenciando a obtenção de todas as informações necessárias sobre as condições, estado de conservação e peculiaridades do objeto deste edital, e que deverão ser devidamente consideradas na composição dos preços de sua proposta comercial.</w:t>
      </w:r>
    </w:p>
    <w:p w14:paraId="72B722B0"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visita técnica poderá ser agendada antecipadamente com o Fundo Municipal de Educação, através do e-mail: </w:t>
      </w:r>
      <w:hyperlink r:id="rId8">
        <w:r w:rsidR="001F1278">
          <w:rPr>
            <w:rFonts w:ascii="Times New Roman" w:eastAsia="Times New Roman" w:hAnsi="Times New Roman" w:cs="Times New Roman"/>
            <w:color w:val="000000"/>
            <w:sz w:val="24"/>
            <w:szCs w:val="24"/>
          </w:rPr>
          <w:t>adm.educacao@arraial.rj.gov.br</w:t>
        </w:r>
      </w:hyperlink>
      <w:r>
        <w:rPr>
          <w:rFonts w:ascii="Times New Roman" w:eastAsia="Times New Roman" w:hAnsi="Times New Roman" w:cs="Times New Roman"/>
          <w:color w:val="000000"/>
          <w:sz w:val="24"/>
          <w:szCs w:val="24"/>
        </w:rPr>
        <w:t>.</w:t>
      </w:r>
    </w:p>
    <w:p w14:paraId="76BAAB00"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Será de exclusiva responsabilidade da Secretaria solicitante o agendamento com as licitantes para a realização das vistorias necessárias à execução do objeto do presente certame.</w:t>
      </w:r>
    </w:p>
    <w:p w14:paraId="723F22F2"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não realização de vistoria, mesmo que justificada por Declaração de pleno conhecimento do objeto, implicará a aceitação tácita das exigências constantes neste instrumento. Portanto, não serão aceitas justificativas, em qualquer época, de desconhecimento de estado, condições do local, fatos e detalhes que impossibilitem ou dificultem a execução dos serviços ou o cumprimento de todas as suas obrigações.</w:t>
      </w:r>
    </w:p>
    <w:p w14:paraId="7B2C992B" w14:textId="77777777" w:rsidR="001F1278" w:rsidRDefault="00000000">
      <w:pPr>
        <w:numPr>
          <w:ilvl w:val="2"/>
          <w:numId w:val="1"/>
        </w:numPr>
        <w:pBdr>
          <w:top w:val="nil"/>
          <w:left w:val="nil"/>
          <w:bottom w:val="nil"/>
          <w:right w:val="nil"/>
          <w:between w:val="nil"/>
        </w:pBdr>
        <w:tabs>
          <w:tab w:val="left" w:pos="0"/>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As parcelas de maior relevância para comprovação de capacidade mínima da técnica da licitante, em consonância com a Lei Federal 14.133/21, são: </w:t>
      </w:r>
    </w:p>
    <w:p w14:paraId="78FCFF2D" w14:textId="77777777" w:rsidR="001F1278" w:rsidRDefault="001F1278">
      <w:pPr>
        <w:spacing w:line="360" w:lineRule="auto"/>
        <w:jc w:val="both"/>
        <w:rPr>
          <w:rFonts w:ascii="Times New Roman" w:eastAsia="Times New Roman" w:hAnsi="Times New Roman" w:cs="Times New Roman"/>
          <w:b/>
          <w:bCs/>
          <w:sz w:val="16"/>
          <w:szCs w:val="16"/>
        </w:rPr>
      </w:pPr>
    </w:p>
    <w:tbl>
      <w:tblPr>
        <w:tblStyle w:val="a0"/>
        <w:tblW w:w="90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2"/>
        <w:gridCol w:w="1168"/>
        <w:gridCol w:w="2489"/>
      </w:tblGrid>
      <w:tr w:rsidR="001F1278" w14:paraId="0E02B06B" w14:textId="77777777">
        <w:trPr>
          <w:jc w:val="center"/>
        </w:trPr>
        <w:tc>
          <w:tcPr>
            <w:tcW w:w="9039" w:type="dxa"/>
            <w:gridSpan w:val="3"/>
            <w:shd w:val="clear" w:color="auto" w:fill="D9D9D9"/>
          </w:tcPr>
          <w:p w14:paraId="1CD66B98" w14:textId="77777777" w:rsidR="001F1278" w:rsidRDefault="00000000">
            <w:pPr>
              <w:pBdr>
                <w:top w:val="nil"/>
                <w:left w:val="nil"/>
                <w:bottom w:val="nil"/>
                <w:right w:val="nil"/>
                <w:between w:val="nil"/>
              </w:pBdr>
              <w:spacing w:before="120" w:line="36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Itens de Maior Relevância </w:t>
            </w:r>
          </w:p>
          <w:p w14:paraId="68EA5EA3" w14:textId="77777777" w:rsidR="001F1278" w:rsidRDefault="00000000">
            <w:pPr>
              <w:pBdr>
                <w:top w:val="nil"/>
                <w:left w:val="nil"/>
                <w:bottom w:val="nil"/>
                <w:right w:val="nil"/>
                <w:between w:val="nil"/>
              </w:pBdr>
              <w:spacing w:line="276" w:lineRule="auto"/>
              <w:jc w:val="center"/>
              <w:rPr>
                <w:rFonts w:ascii="Times New Roman" w:eastAsia="Times New Roman" w:hAnsi="Times New Roman" w:cs="Times New Roman"/>
                <w:b/>
                <w:bCs/>
                <w:color w:val="000000"/>
                <w:sz w:val="22"/>
                <w:szCs w:val="22"/>
              </w:rPr>
            </w:pPr>
            <w:r>
              <w:rPr>
                <w:rFonts w:ascii="Times New Roman" w:eastAsia="Times New Roman" w:hAnsi="Times New Roman" w:cs="Times New Roman"/>
                <w:b/>
                <w:bCs/>
                <w:color w:val="000000"/>
                <w:sz w:val="22"/>
                <w:szCs w:val="22"/>
              </w:rPr>
              <w:t>(A quantidade informada é referente a 50% dos itens)</w:t>
            </w:r>
          </w:p>
          <w:p w14:paraId="023D8ACE" w14:textId="77777777" w:rsidR="001F1278" w:rsidRDefault="001F1278">
            <w:pPr>
              <w:pBdr>
                <w:top w:val="nil"/>
                <w:left w:val="nil"/>
                <w:bottom w:val="nil"/>
                <w:right w:val="nil"/>
                <w:between w:val="nil"/>
              </w:pBdr>
              <w:spacing w:line="360" w:lineRule="auto"/>
              <w:rPr>
                <w:rFonts w:ascii="Times New Roman" w:eastAsia="Times New Roman" w:hAnsi="Times New Roman" w:cs="Times New Roman"/>
                <w:i/>
                <w:iCs/>
                <w:color w:val="000000"/>
                <w:sz w:val="16"/>
                <w:szCs w:val="16"/>
              </w:rPr>
            </w:pPr>
          </w:p>
        </w:tc>
      </w:tr>
      <w:tr w:rsidR="001F1278" w14:paraId="3EDAF142" w14:textId="77777777">
        <w:trPr>
          <w:jc w:val="center"/>
        </w:trPr>
        <w:tc>
          <w:tcPr>
            <w:tcW w:w="5382" w:type="dxa"/>
            <w:shd w:val="clear" w:color="auto" w:fill="D9D9D9"/>
          </w:tcPr>
          <w:p w14:paraId="1836B977" w14:textId="77777777" w:rsidR="001F1278" w:rsidRDefault="00000000">
            <w:pPr>
              <w:spacing w:before="120" w:line="360" w:lineRule="auto"/>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Descrição</w:t>
            </w:r>
          </w:p>
        </w:tc>
        <w:tc>
          <w:tcPr>
            <w:tcW w:w="1168" w:type="dxa"/>
            <w:shd w:val="clear" w:color="auto" w:fill="D9D9D9"/>
          </w:tcPr>
          <w:p w14:paraId="0675C461" w14:textId="77777777" w:rsidR="001F1278" w:rsidRDefault="00000000">
            <w:pPr>
              <w:spacing w:before="120" w:line="360" w:lineRule="auto"/>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Unidade</w:t>
            </w:r>
          </w:p>
        </w:tc>
        <w:tc>
          <w:tcPr>
            <w:tcW w:w="2489" w:type="dxa"/>
            <w:shd w:val="clear" w:color="auto" w:fill="D9D9D9"/>
          </w:tcPr>
          <w:p w14:paraId="6EFB6EEA" w14:textId="77777777" w:rsidR="001F1278" w:rsidRDefault="00000000">
            <w:pPr>
              <w:spacing w:before="120" w:line="360" w:lineRule="auto"/>
              <w:ind w:left="1080" w:hanging="1046"/>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Quantidade</w:t>
            </w:r>
          </w:p>
        </w:tc>
      </w:tr>
      <w:tr w:rsidR="001F1278" w14:paraId="457D2ECD" w14:textId="77777777">
        <w:trPr>
          <w:jc w:val="center"/>
        </w:trPr>
        <w:tc>
          <w:tcPr>
            <w:tcW w:w="5382" w:type="dxa"/>
          </w:tcPr>
          <w:p w14:paraId="70663A54" w14:textId="77777777" w:rsidR="001F1278" w:rsidRDefault="001F1278">
            <w:pPr>
              <w:jc w:val="both"/>
              <w:rPr>
                <w:rFonts w:ascii="Times New Roman" w:eastAsia="Times New Roman" w:hAnsi="Times New Roman" w:cs="Times New Roman"/>
                <w:color w:val="000000"/>
                <w:sz w:val="16"/>
                <w:szCs w:val="16"/>
              </w:rPr>
            </w:pPr>
          </w:p>
          <w:p w14:paraId="1CD8A20D" w14:textId="77777777" w:rsidR="001F1278" w:rsidRDefault="00000000">
            <w:pPr>
              <w:spacing w:line="360"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lastRenderedPageBreak/>
              <w:t>ESTACA DE CONCRETO ARMADO, MOLDADA NO TERRENO, TIPO HELICE CONTINUA, DIAMETRO DE 400MM, CAPACIDADE DE CARGA DE 60T A 80T, INCLUSIVE FORNECIMENTO DOS MATERIAIS CONSIDERANDO O TRECHO CRAVADO E CONCRETADO.</w:t>
            </w:r>
          </w:p>
        </w:tc>
        <w:tc>
          <w:tcPr>
            <w:tcW w:w="1168" w:type="dxa"/>
          </w:tcPr>
          <w:p w14:paraId="3DCD982D" w14:textId="77777777" w:rsidR="001F1278" w:rsidRDefault="001F1278">
            <w:pPr>
              <w:spacing w:before="120"/>
              <w:jc w:val="center"/>
              <w:rPr>
                <w:rFonts w:ascii="Times New Roman" w:eastAsia="Times New Roman" w:hAnsi="Times New Roman" w:cs="Times New Roman"/>
                <w:sz w:val="16"/>
                <w:szCs w:val="16"/>
              </w:rPr>
            </w:pPr>
          </w:p>
          <w:p w14:paraId="1353CCD1" w14:textId="77777777" w:rsidR="001F1278" w:rsidRDefault="001F1278">
            <w:pPr>
              <w:spacing w:before="120" w:line="360" w:lineRule="auto"/>
              <w:jc w:val="center"/>
              <w:rPr>
                <w:rFonts w:ascii="Times New Roman" w:eastAsia="Times New Roman" w:hAnsi="Times New Roman" w:cs="Times New Roman"/>
                <w:sz w:val="22"/>
                <w:szCs w:val="22"/>
              </w:rPr>
            </w:pPr>
          </w:p>
          <w:p w14:paraId="10E538EF" w14:textId="77777777" w:rsidR="001F1278" w:rsidRDefault="00000000">
            <w:pPr>
              <w:spacing w:before="120" w:line="36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M</w:t>
            </w:r>
          </w:p>
        </w:tc>
        <w:tc>
          <w:tcPr>
            <w:tcW w:w="2489" w:type="dxa"/>
          </w:tcPr>
          <w:p w14:paraId="44C5D57B" w14:textId="77777777" w:rsidR="001F1278" w:rsidRDefault="001F1278">
            <w:pPr>
              <w:spacing w:before="120"/>
              <w:ind w:left="1080" w:hanging="763"/>
              <w:jc w:val="center"/>
              <w:rPr>
                <w:rFonts w:ascii="Times New Roman" w:eastAsia="Times New Roman" w:hAnsi="Times New Roman" w:cs="Times New Roman"/>
                <w:sz w:val="16"/>
                <w:szCs w:val="16"/>
              </w:rPr>
            </w:pPr>
          </w:p>
          <w:p w14:paraId="749BB369" w14:textId="77777777" w:rsidR="001F1278" w:rsidRDefault="001F1278">
            <w:pPr>
              <w:spacing w:before="120" w:line="360" w:lineRule="auto"/>
              <w:ind w:left="1080" w:hanging="763"/>
              <w:jc w:val="center"/>
              <w:rPr>
                <w:rFonts w:ascii="Times New Roman" w:eastAsia="Times New Roman" w:hAnsi="Times New Roman" w:cs="Times New Roman"/>
                <w:sz w:val="22"/>
                <w:szCs w:val="22"/>
              </w:rPr>
            </w:pPr>
          </w:p>
          <w:p w14:paraId="143EBA49" w14:textId="77777777" w:rsidR="001F1278" w:rsidRDefault="00000000">
            <w:pPr>
              <w:spacing w:before="120" w:line="360" w:lineRule="auto"/>
              <w:ind w:left="1080" w:hanging="763"/>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3.382,50</w:t>
            </w:r>
          </w:p>
        </w:tc>
      </w:tr>
      <w:tr w:rsidR="001F1278" w14:paraId="681F4B13" w14:textId="77777777">
        <w:trPr>
          <w:jc w:val="center"/>
        </w:trPr>
        <w:tc>
          <w:tcPr>
            <w:tcW w:w="5382" w:type="dxa"/>
          </w:tcPr>
          <w:p w14:paraId="6E7955B9" w14:textId="77777777" w:rsidR="001F1278" w:rsidRDefault="001F1278">
            <w:pPr>
              <w:spacing w:line="360" w:lineRule="auto"/>
              <w:jc w:val="both"/>
              <w:rPr>
                <w:rFonts w:ascii="Times New Roman" w:eastAsia="Times New Roman" w:hAnsi="Times New Roman" w:cs="Times New Roman"/>
                <w:color w:val="000000"/>
                <w:sz w:val="16"/>
                <w:szCs w:val="16"/>
              </w:rPr>
            </w:pPr>
          </w:p>
          <w:p w14:paraId="3FDA7F96" w14:textId="77777777" w:rsidR="001F1278" w:rsidRDefault="00000000">
            <w:pPr>
              <w:spacing w:line="360"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BARRA DE ACO CA-50, COM SALIENCIA OU MOSSA, COEFICIENTE DE CONFORMACAO SUPERFICIAL MINIMO (ADERENCIA) IGUAL A 1,5, DIAMETRODE 8 A 12,5MM, DESTINADA A ARMADURA DE CONCRETO ARMADO,10%DE PERDAS DE PONTAS E ARAME 18. FORNECIMENTO. </w:t>
            </w:r>
          </w:p>
        </w:tc>
        <w:tc>
          <w:tcPr>
            <w:tcW w:w="1168" w:type="dxa"/>
          </w:tcPr>
          <w:p w14:paraId="3C5D6E31" w14:textId="77777777" w:rsidR="001F1278" w:rsidRDefault="001F1278">
            <w:pPr>
              <w:spacing w:before="120" w:line="360" w:lineRule="auto"/>
              <w:jc w:val="center"/>
              <w:rPr>
                <w:rFonts w:ascii="Times New Roman" w:eastAsia="Times New Roman" w:hAnsi="Times New Roman" w:cs="Times New Roman"/>
                <w:sz w:val="16"/>
                <w:szCs w:val="16"/>
              </w:rPr>
            </w:pPr>
          </w:p>
          <w:p w14:paraId="67591954" w14:textId="77777777" w:rsidR="001F1278" w:rsidRDefault="00000000">
            <w:pPr>
              <w:spacing w:before="120" w:line="36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KG</w:t>
            </w:r>
          </w:p>
        </w:tc>
        <w:tc>
          <w:tcPr>
            <w:tcW w:w="2489" w:type="dxa"/>
          </w:tcPr>
          <w:p w14:paraId="602D88F3" w14:textId="77777777" w:rsidR="001F1278" w:rsidRDefault="001F1278">
            <w:pPr>
              <w:spacing w:before="120" w:line="360" w:lineRule="auto"/>
              <w:ind w:left="1080" w:hanging="1046"/>
              <w:jc w:val="center"/>
              <w:rPr>
                <w:rFonts w:ascii="Times New Roman" w:eastAsia="Times New Roman" w:hAnsi="Times New Roman" w:cs="Times New Roman"/>
                <w:sz w:val="16"/>
                <w:szCs w:val="16"/>
              </w:rPr>
            </w:pPr>
          </w:p>
          <w:p w14:paraId="4DEBBF86" w14:textId="77777777" w:rsidR="001F1278" w:rsidRDefault="00000000">
            <w:pPr>
              <w:spacing w:before="120" w:line="360" w:lineRule="auto"/>
              <w:ind w:left="1080" w:hanging="1046"/>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59.825,50</w:t>
            </w:r>
          </w:p>
        </w:tc>
      </w:tr>
      <w:tr w:rsidR="001F1278" w14:paraId="66E5D0ED" w14:textId="77777777">
        <w:trPr>
          <w:jc w:val="center"/>
        </w:trPr>
        <w:tc>
          <w:tcPr>
            <w:tcW w:w="5382" w:type="dxa"/>
          </w:tcPr>
          <w:p w14:paraId="138FF81D" w14:textId="77777777" w:rsidR="001F1278" w:rsidRDefault="001F1278">
            <w:pPr>
              <w:jc w:val="both"/>
              <w:rPr>
                <w:rFonts w:ascii="Times New Roman" w:eastAsia="Times New Roman" w:hAnsi="Times New Roman" w:cs="Times New Roman"/>
                <w:color w:val="000000"/>
                <w:sz w:val="16"/>
                <w:szCs w:val="16"/>
              </w:rPr>
            </w:pPr>
          </w:p>
          <w:p w14:paraId="152E2CB5" w14:textId="77777777" w:rsidR="001F1278" w:rsidRDefault="00000000">
            <w:pPr>
              <w:spacing w:line="360"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CONCRETO DOSADO RACIONALMENTE PARA UMA RESISTENCIA CARACTERISTICA A COMPRESSAO DE 25MPA, COMPREENDENDO APENAS O FORNECIMENTO DOS MATERIAIS, INCLUSIVE 5% DE PERDAS.</w:t>
            </w:r>
          </w:p>
        </w:tc>
        <w:tc>
          <w:tcPr>
            <w:tcW w:w="1168" w:type="dxa"/>
          </w:tcPr>
          <w:p w14:paraId="2775C9C3" w14:textId="77777777" w:rsidR="001F1278" w:rsidRDefault="001F1278">
            <w:pPr>
              <w:spacing w:before="120"/>
              <w:jc w:val="center"/>
              <w:rPr>
                <w:rFonts w:ascii="Times New Roman" w:eastAsia="Times New Roman" w:hAnsi="Times New Roman" w:cs="Times New Roman"/>
                <w:sz w:val="16"/>
                <w:szCs w:val="16"/>
              </w:rPr>
            </w:pPr>
          </w:p>
          <w:p w14:paraId="6CCA058B" w14:textId="77777777" w:rsidR="001F1278" w:rsidRDefault="00000000">
            <w:pPr>
              <w:spacing w:before="120" w:line="36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M³</w:t>
            </w:r>
          </w:p>
        </w:tc>
        <w:tc>
          <w:tcPr>
            <w:tcW w:w="2489" w:type="dxa"/>
          </w:tcPr>
          <w:p w14:paraId="1D439F2F" w14:textId="77777777" w:rsidR="001F1278" w:rsidRDefault="001F1278">
            <w:pPr>
              <w:spacing w:before="120"/>
              <w:jc w:val="center"/>
              <w:rPr>
                <w:rFonts w:ascii="Times New Roman" w:eastAsia="Times New Roman" w:hAnsi="Times New Roman" w:cs="Times New Roman"/>
                <w:sz w:val="16"/>
                <w:szCs w:val="16"/>
              </w:rPr>
            </w:pPr>
          </w:p>
          <w:p w14:paraId="463E80F3" w14:textId="77777777" w:rsidR="001F1278" w:rsidRDefault="00000000">
            <w:pPr>
              <w:spacing w:before="120" w:line="360" w:lineRule="auto"/>
              <w:ind w:left="1080" w:hanging="905"/>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880,68</w:t>
            </w:r>
          </w:p>
        </w:tc>
      </w:tr>
    </w:tbl>
    <w:p w14:paraId="198D0E75" w14:textId="77777777" w:rsidR="001F1278" w:rsidRDefault="001F1278">
      <w:pPr>
        <w:pBdr>
          <w:top w:val="nil"/>
          <w:left w:val="nil"/>
          <w:bottom w:val="nil"/>
          <w:right w:val="nil"/>
          <w:between w:val="nil"/>
        </w:pBdr>
        <w:spacing w:line="360" w:lineRule="auto"/>
        <w:rPr>
          <w:rFonts w:ascii="Times New Roman" w:eastAsia="Times New Roman" w:hAnsi="Times New Roman" w:cs="Times New Roman"/>
          <w:b/>
          <w:bCs/>
          <w:color w:val="000000"/>
          <w:sz w:val="24"/>
          <w:szCs w:val="24"/>
        </w:rPr>
      </w:pPr>
    </w:p>
    <w:p w14:paraId="537069BB" w14:textId="77777777" w:rsidR="001F1278" w:rsidRDefault="00000000">
      <w:pPr>
        <w:numPr>
          <w:ilvl w:val="0"/>
          <w:numId w:val="2"/>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rPr>
        <w:t>ESTACA DE CONCRETO ARMADO</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Justifica-se pela necessidade de atender às exigências estruturais do empreendimento com segurança, eficiência e compatibilidade com as condições geotécnicas estimadas. O método de hélice contínua garante elevada capacidade de carga devido à boa interação entre o elemento estrutural e o solo, resultando em desempenho adequado quanto à resistência e ao controle de recalques. A execução por perfuração contínua, seguida de concretagem durante a retirada da hélice, reduz significativamente o risco de instabilidade das paredes do furo e evita problemas associados à presença de água ou solos pouco coesivos, assegurando maior uniformidade e qualidade do elemento de fundação. Além disso, o processo apresenta baixa vibração e reduzido nível de ruído, tornando-se tecnicamente apropriado para áreas urbanas ou sensíveis. A escolha desse tipo de fundação, portanto, representa a solução mais adequada em termos de segurança estrutural, controle tecnológico, produtividade e minimização de impactos no entorno.</w:t>
      </w:r>
    </w:p>
    <w:p w14:paraId="1A9512DD" w14:textId="77777777" w:rsidR="001F1278" w:rsidRDefault="001F1278">
      <w:pPr>
        <w:pBdr>
          <w:top w:val="nil"/>
          <w:left w:val="nil"/>
          <w:bottom w:val="nil"/>
          <w:right w:val="nil"/>
          <w:between w:val="nil"/>
        </w:pBdr>
        <w:tabs>
          <w:tab w:val="left" w:pos="284"/>
        </w:tabs>
        <w:spacing w:line="240" w:lineRule="auto"/>
        <w:jc w:val="both"/>
        <w:rPr>
          <w:rFonts w:ascii="Times New Roman" w:eastAsia="Times New Roman" w:hAnsi="Times New Roman" w:cs="Times New Roman"/>
          <w:b/>
          <w:bCs/>
          <w:color w:val="000000"/>
          <w:sz w:val="24"/>
          <w:szCs w:val="24"/>
        </w:rPr>
      </w:pPr>
    </w:p>
    <w:p w14:paraId="64015949" w14:textId="77777777" w:rsidR="001F1278" w:rsidRDefault="00000000">
      <w:pPr>
        <w:numPr>
          <w:ilvl w:val="0"/>
          <w:numId w:val="2"/>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rPr>
        <w:lastRenderedPageBreak/>
        <w:t>BARRA DE AÇO CA-50</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Justifica-se pela necessidade de garantir adequada resistência, aderência e desempenho estrutural aos elementos de concreto. O aço CA-50 apresenta elevado limite de escoamento e comportamento dúctil, características essenciais para garantir segurança e conformidade com as normas técnicas de projeto e execução. As barras com superfície saliente favorecem a aderência ao concreto, promovendo maior transferência de esforços e reduzindo o risco de escorregamento ou fissuração. A faixa de diâmetros especificada atende às armaduras longitudinais e transversais dos elementos estruturais, assegurando flexibilidade de detalhamento e otimização dos quantitativos. A previsão de 10% de perdas, incluindo pontas e arame 18 para amarração, é tecnicamente necessária para contemplar sobras inevitáveis durante o corte, dobra e montagem das armaduras, garantindo o fornecimento completo e contínuo dos materiais durante a execução. Dessa forma, o conjunto de especificações assegura desempenho estrutural adequado, padronização, durabilidade e atendimento às exigências normativas.</w:t>
      </w:r>
    </w:p>
    <w:p w14:paraId="22CB3DC8" w14:textId="77777777" w:rsidR="001F1278" w:rsidRDefault="001F1278">
      <w:pPr>
        <w:tabs>
          <w:tab w:val="left" w:pos="284"/>
        </w:tabs>
        <w:spacing w:line="240" w:lineRule="auto"/>
        <w:jc w:val="both"/>
        <w:rPr>
          <w:rFonts w:ascii="Times New Roman" w:eastAsia="Times New Roman" w:hAnsi="Times New Roman" w:cs="Times New Roman"/>
          <w:b/>
          <w:bCs/>
          <w:sz w:val="24"/>
          <w:szCs w:val="24"/>
        </w:rPr>
      </w:pPr>
    </w:p>
    <w:p w14:paraId="6A0DE996" w14:textId="77777777" w:rsidR="001F1278" w:rsidRDefault="00000000">
      <w:pPr>
        <w:numPr>
          <w:ilvl w:val="0"/>
          <w:numId w:val="2"/>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rPr>
        <w:t xml:space="preserve"> </w:t>
      </w:r>
      <w:r>
        <w:rPr>
          <w:rFonts w:ascii="Times New Roman" w:eastAsia="Times New Roman" w:hAnsi="Times New Roman" w:cs="Times New Roman"/>
          <w:b/>
          <w:bCs/>
          <w:color w:val="000000"/>
        </w:rPr>
        <w:t>CONCRETO DOSADO</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Justifica-se pela necessidade de garantir desempenho estrutural adequado, durabilidade e conformidade com as normas técnicas vigentes. O FCK de 25 MPA atende às exigências de resistência para a maioria dos elementos estruturais usuais, proporcionando segurança, capacidade de carga adequada e controle de fissuração. O uso de dosagem racional assegura uniformidade na qualidade do concreto, maior precisão na relação água/cimento e melhor controle tecnológico durante o processo de fabricação. A previsão de 5% de perdas é necessária para cobrir desperdícios inevitáveis relacionados ao transporte, manuseio, variações de umidade dos agregados e ajustes operacionais no preparo do concreto. Dessa forma, o fornecimento dos materiais dentro dessa especificação garante eficiência, regularidade no desempenho e atendimento aos requisitos estruturais do empreendimento.</w:t>
      </w:r>
    </w:p>
    <w:p w14:paraId="32C707B8" w14:textId="77777777" w:rsidR="001F1278" w:rsidRDefault="001F1278">
      <w:pPr>
        <w:pBdr>
          <w:top w:val="nil"/>
          <w:left w:val="nil"/>
          <w:bottom w:val="nil"/>
          <w:right w:val="nil"/>
          <w:between w:val="nil"/>
        </w:pBdr>
        <w:tabs>
          <w:tab w:val="left" w:pos="284"/>
        </w:tabs>
        <w:spacing w:line="360" w:lineRule="auto"/>
        <w:jc w:val="both"/>
        <w:rPr>
          <w:rFonts w:ascii="Times New Roman" w:eastAsia="Times New Roman" w:hAnsi="Times New Roman" w:cs="Times New Roman"/>
          <w:b/>
          <w:bCs/>
          <w:color w:val="000000"/>
          <w:sz w:val="24"/>
          <w:szCs w:val="24"/>
        </w:rPr>
      </w:pPr>
    </w:p>
    <w:p w14:paraId="187FEAB9" w14:textId="77777777" w:rsidR="001F1278" w:rsidRDefault="00000000">
      <w:pPr>
        <w:numPr>
          <w:ilvl w:val="1"/>
          <w:numId w:val="1"/>
        </w:numPr>
        <w:pBdr>
          <w:top w:val="nil"/>
          <w:left w:val="nil"/>
          <w:bottom w:val="nil"/>
          <w:right w:val="nil"/>
          <w:between w:val="nil"/>
        </w:pBdr>
        <w:tabs>
          <w:tab w:val="left" w:pos="284"/>
          <w:tab w:val="left" w:pos="567"/>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HABILITAÇÃO JURÍDICA</w:t>
      </w:r>
    </w:p>
    <w:p w14:paraId="7E5C7C9E" w14:textId="77777777" w:rsidR="001F1278" w:rsidRDefault="00000000">
      <w:pPr>
        <w:numPr>
          <w:ilvl w:val="2"/>
          <w:numId w:val="1"/>
        </w:numPr>
        <w:pBdr>
          <w:top w:val="nil"/>
          <w:left w:val="nil"/>
          <w:bottom w:val="nil"/>
          <w:right w:val="nil"/>
          <w:between w:val="nil"/>
        </w:pBdr>
        <w:tabs>
          <w:tab w:val="left" w:pos="284"/>
          <w:tab w:val="left" w:pos="567"/>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Cópia da Cédula de Identidade de todos os componentes do quadro societário, ou dos administradores da empresa quando o administrador não compuser o quadro societário e quando a natureza jurídica da empresa for de sociedade por ações;</w:t>
      </w:r>
    </w:p>
    <w:p w14:paraId="3D25A931" w14:textId="77777777" w:rsidR="001F1278" w:rsidRDefault="00000000">
      <w:pPr>
        <w:numPr>
          <w:ilvl w:val="2"/>
          <w:numId w:val="1"/>
        </w:numPr>
        <w:pBdr>
          <w:top w:val="nil"/>
          <w:left w:val="nil"/>
          <w:bottom w:val="nil"/>
          <w:right w:val="nil"/>
          <w:between w:val="nil"/>
        </w:pBdr>
        <w:tabs>
          <w:tab w:val="left" w:pos="284"/>
          <w:tab w:val="left" w:pos="567"/>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Ato constitutivo apresentado nas formas abaixo:</w:t>
      </w:r>
    </w:p>
    <w:p w14:paraId="68D896F0" w14:textId="77777777" w:rsidR="001F1278" w:rsidRDefault="00000000">
      <w:pPr>
        <w:pBdr>
          <w:top w:val="nil"/>
          <w:left w:val="nil"/>
          <w:bottom w:val="nil"/>
          <w:right w:val="nil"/>
          <w:between w:val="nil"/>
        </w:pBdr>
        <w:tabs>
          <w:tab w:val="left" w:pos="284"/>
          <w:tab w:val="left" w:pos="567"/>
        </w:tabs>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Ato constitutivo, ou contrato social em vigor, devidamente registrado, no órgão correspondente;</w:t>
      </w:r>
    </w:p>
    <w:p w14:paraId="582362BB"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Nos casos em que a formação societária for composta por pessoa jurídica, deverá esta ser apresentado o contrato social em vigor, bem como a Cédula de identidade de todo o quadro societário;</w:t>
      </w:r>
    </w:p>
    <w:p w14:paraId="608F8F33"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Registro no Registro Público de Empresas Mercantis, em se tratando de empresário individual ou sociedade empresária;</w:t>
      </w:r>
    </w:p>
    <w:p w14:paraId="7E758D9C"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Registro no Registro Civil das Pessoas Jurídicas, em se tratando de sociedade simples;</w:t>
      </w:r>
    </w:p>
    <w:p w14:paraId="7EC6A410"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Estatuto acompanhado da ata da assembleia geral ou da reunião do conselho de administração atinente à eleição e ao mandato dos atuais administradores, evidenciando o devido registro na junta comercial pertinente ou a publicação prevista na Lei 6.404/76 e suas alterações, no caso de sociedades anônimas;</w:t>
      </w:r>
    </w:p>
    <w:p w14:paraId="2590E689"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Documentos que indiquem os atuais responsáveis pela administração, salvo se já constarem no contrato social em vigor, no caso das demais sociedades;</w:t>
      </w:r>
    </w:p>
    <w:p w14:paraId="42E8DED3" w14:textId="77777777" w:rsidR="001F1278" w:rsidRDefault="00000000">
      <w:pPr>
        <w:pBdr>
          <w:top w:val="nil"/>
          <w:left w:val="nil"/>
          <w:bottom w:val="nil"/>
          <w:right w:val="nil"/>
          <w:between w:val="nil"/>
        </w:pBdr>
        <w:tabs>
          <w:tab w:val="left" w:pos="426"/>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Cópia do decreto de autorização para que se estabeleçam no país e ato de registro ou autorização para funcionamento expedido pelo órgão competente, no caso de empresas ou sociedades estrangeiras.</w:t>
      </w:r>
    </w:p>
    <w:p w14:paraId="7AB9224F" w14:textId="77777777" w:rsidR="001F1278" w:rsidRDefault="001F1278">
      <w:pPr>
        <w:pBdr>
          <w:top w:val="nil"/>
          <w:left w:val="nil"/>
          <w:bottom w:val="nil"/>
          <w:right w:val="nil"/>
          <w:between w:val="nil"/>
        </w:pBdr>
        <w:tabs>
          <w:tab w:val="left" w:pos="284"/>
          <w:tab w:val="left" w:pos="851"/>
        </w:tabs>
        <w:spacing w:line="240" w:lineRule="auto"/>
        <w:ind w:left="284"/>
        <w:jc w:val="both"/>
        <w:rPr>
          <w:rFonts w:ascii="Times New Roman" w:eastAsia="Times New Roman" w:hAnsi="Times New Roman" w:cs="Times New Roman"/>
          <w:color w:val="000000"/>
          <w:sz w:val="24"/>
          <w:szCs w:val="24"/>
        </w:rPr>
      </w:pPr>
    </w:p>
    <w:p w14:paraId="2B6632DA"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FISCAL SOCIAL E TRABALHISTA</w:t>
      </w:r>
    </w:p>
    <w:p w14:paraId="0AB99C4E" w14:textId="77777777" w:rsidR="001F1278" w:rsidRPr="00482CAF"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 xml:space="preserve">Sicaf (https://www3.comprasnet.gov.br/sicaf-web/index.jsf), a fim de verificar a composição societária das empresas e certificar eventual participação indireta que ofenda ao art. 14, inciso V, da Lei Federal nº 14.133/2021; </w:t>
      </w:r>
    </w:p>
    <w:p w14:paraId="0DAE1E47" w14:textId="77777777" w:rsidR="001F1278" w:rsidRPr="00482CAF"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 xml:space="preserve">Cadastro Nacional das Empresas Inidôneas e Suspensas – CEIS, no endereço eletrônico http://www.portaltransparencia.gov.br/sancoes/ceis. </w:t>
      </w:r>
    </w:p>
    <w:p w14:paraId="6BCC3746" w14:textId="77777777" w:rsidR="001F1278" w:rsidRPr="00482CAF"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 xml:space="preserve">Cadastro Nacional de Empresas Punidas (Cnep), no endereço eletrônico </w:t>
      </w:r>
      <w:hyperlink r:id="rId9">
        <w:r w:rsidR="001F1278" w:rsidRPr="00482CAF">
          <w:rPr>
            <w:rFonts w:ascii="Times New Roman" w:eastAsia="Times New Roman" w:hAnsi="Times New Roman" w:cs="Times New Roman"/>
            <w:sz w:val="24"/>
            <w:szCs w:val="24"/>
            <w:u w:val="single"/>
          </w:rPr>
          <w:t>http://www.portaltransparencia.gov.br/sancoes/cnep</w:t>
        </w:r>
      </w:hyperlink>
      <w:r w:rsidRPr="00482CAF">
        <w:rPr>
          <w:rFonts w:ascii="Times New Roman" w:eastAsia="Times New Roman" w:hAnsi="Times New Roman" w:cs="Times New Roman"/>
          <w:sz w:val="24"/>
          <w:szCs w:val="24"/>
        </w:rPr>
        <w:t>;</w:t>
      </w:r>
    </w:p>
    <w:p w14:paraId="14715C16" w14:textId="77777777" w:rsidR="001F1278" w:rsidRPr="00482CAF"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Lista de inidôneos mantida pelo Tribunal de Contas da União;</w:t>
      </w:r>
    </w:p>
    <w:p w14:paraId="5BE681F2"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Prova de inscrição no Cadastro Nacional de Pessoa Jurídica do Ministério da Fazenda (CNPJ/MF);</w:t>
      </w:r>
    </w:p>
    <w:p w14:paraId="35140578"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Prova de inscrição no Cadastro de Contribuições Estadual ou Municipal, conforme o caso, pertinente ao seu ramo de atividade e compatível com o objeto licitado;</w:t>
      </w:r>
    </w:p>
    <w:p w14:paraId="5C229D4A"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Prova de regularidade para com a Seguridade Social e a Fazenda Federal, através da apresentação da Certidão Conjunta Negativa ou Positiva com efeito de Negativa de Débitos Relativos a Tributos Federais e à Dívida Ativa da União, expedida pela Procuradoria-Geral da </w:t>
      </w:r>
      <w:r>
        <w:rPr>
          <w:rFonts w:ascii="Times New Roman" w:eastAsia="Times New Roman" w:hAnsi="Times New Roman" w:cs="Times New Roman"/>
          <w:color w:val="000000"/>
          <w:sz w:val="24"/>
          <w:szCs w:val="24"/>
        </w:rPr>
        <w:lastRenderedPageBreak/>
        <w:t>Fazenda Nacional em conjunto com a Secretaria da Receita Federal, que abrange, inclusive, as contribuições sociais previstas nas alíneas “a” a “d”, do parágrafo único, do artigo 11, da Lei Federal nº 8.212/91, comprovando a inexistência tanto de débitos inscritos quanto de não inscritos na Dívida Ativa da União;</w:t>
      </w:r>
    </w:p>
    <w:p w14:paraId="36F911C6"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Prova de regularidade com a Fazenda Estadual, através da apresentação de Certidão de Regularidade de Tributos Estaduais (ICMS) expedida pela Secretaria de Estado de Fazenda ou Distrito Federal;</w:t>
      </w:r>
    </w:p>
    <w:p w14:paraId="0C2BB65E"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Para empresas sediadas no Estado do Rio de Janeiro ou quando a regularidade Estadual assim condicionar, Certidão da Dívida Ativa Estadual comprovando a inexistência de débitos inscritos, ou outra(s) equivalente(s), tal(tais) como certidão(ões) positiva(s) com efeito de negativa(s), na forma da lei;</w:t>
      </w:r>
    </w:p>
    <w:p w14:paraId="03FFFB09"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Prova de regularidade para com a Fazenda Municipal, através da apresentação de Certidão de Regularidade de Tributos Municipais (ISS) expedida pela Secretaria Municipal de Fazenda;</w:t>
      </w:r>
    </w:p>
    <w:p w14:paraId="0E4E354E"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Certificado de Regularidade de Situação perante o Fundo de Garantia por Tempo de Serviço - FGTS, expedido pela Caixa Econômica Federal – CEF;</w:t>
      </w:r>
    </w:p>
    <w:p w14:paraId="695FAB2E"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14:paraId="1636E63F" w14:textId="77777777" w:rsidR="001F1278" w:rsidRDefault="00000000">
      <w:pPr>
        <w:numPr>
          <w:ilvl w:val="2"/>
          <w:numId w:val="1"/>
        </w:numPr>
        <w:pBdr>
          <w:top w:val="nil"/>
          <w:left w:val="nil"/>
          <w:bottom w:val="nil"/>
          <w:right w:val="nil"/>
          <w:between w:val="nil"/>
        </w:pBdr>
        <w:tabs>
          <w:tab w:val="left" w:pos="567"/>
          <w:tab w:val="left" w:pos="1276"/>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Declaração que cumpre as exigências de reserva de cargos para pessoa com deficiência e para reabilitado da Previdência Social, previstas em lei e em outras normas específicas;</w:t>
      </w:r>
    </w:p>
    <w:p w14:paraId="532BACE4" w14:textId="77777777" w:rsidR="001F1278" w:rsidRDefault="00000000">
      <w:pPr>
        <w:numPr>
          <w:ilvl w:val="2"/>
          <w:numId w:val="1"/>
        </w:numPr>
        <w:pBdr>
          <w:top w:val="nil"/>
          <w:left w:val="nil"/>
          <w:bottom w:val="nil"/>
          <w:right w:val="nil"/>
          <w:between w:val="nil"/>
        </w:pBdr>
        <w:tabs>
          <w:tab w:val="left" w:pos="284"/>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agente de contratação, auxiliado pela equipe de apoio, analisará imediatamente a veracidade das declarações de que trata o item 13.4.9 e caso seja verificada a falsidade, além de ficar inabilitado para o certame, o licitante estará sujeito às sanções previstas na Lei nº 14.133, de 2021 e neste Edital;</w:t>
      </w:r>
    </w:p>
    <w:p w14:paraId="4D9494E6" w14:textId="77777777" w:rsidR="001F1278" w:rsidRDefault="00000000">
      <w:pPr>
        <w:numPr>
          <w:ilvl w:val="2"/>
          <w:numId w:val="1"/>
        </w:numPr>
        <w:pBdr>
          <w:top w:val="nil"/>
          <w:left w:val="nil"/>
          <w:bottom w:val="nil"/>
          <w:right w:val="nil"/>
          <w:between w:val="nil"/>
        </w:pBdr>
        <w:tabs>
          <w:tab w:val="left" w:pos="284"/>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veracidade das declarações constantes no item 13.4.9 será aferido diretamente nos sites oficiais do Ministério do Trabalho e Emprego – MTE, respectivamente:  https://certidoes.sit.trabalho.gov.br/aprendiz e https://certidoes.sit.trabalho.gov.br/pcdreab.</w:t>
      </w:r>
    </w:p>
    <w:p w14:paraId="58210EE0" w14:textId="77777777" w:rsidR="001F1278" w:rsidRDefault="001F1278">
      <w:pPr>
        <w:pBdr>
          <w:top w:val="nil"/>
          <w:left w:val="nil"/>
          <w:bottom w:val="nil"/>
          <w:right w:val="nil"/>
          <w:between w:val="nil"/>
        </w:pBdr>
        <w:tabs>
          <w:tab w:val="left" w:pos="567"/>
          <w:tab w:val="left" w:pos="709"/>
        </w:tabs>
        <w:spacing w:line="240" w:lineRule="auto"/>
        <w:jc w:val="both"/>
        <w:rPr>
          <w:rFonts w:ascii="Times New Roman" w:eastAsia="Times New Roman" w:hAnsi="Times New Roman" w:cs="Times New Roman"/>
          <w:color w:val="000000"/>
          <w:sz w:val="24"/>
          <w:szCs w:val="24"/>
        </w:rPr>
      </w:pPr>
    </w:p>
    <w:p w14:paraId="0744809E"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QUALIFICAÇÃO ECONÔMICO-FINANCEIRA</w:t>
      </w:r>
    </w:p>
    <w:p w14:paraId="6A06EDAF"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Apresentação do balanço patrimonial e as demonstrações contábeis dos dois últimos exercícios sociais, já exigíveis e apresentados na forma da lei, que comprovem a boa situação financeira da empresa, acompanhados dos Termos de Abertura e Encerramento do Livro Diário, o qual deverá estar devidamente registrado na Junta Comercial ou no Cartório de Registro de Pessoas Jurídicas da sede ou domicílio da empresa, ou ainda, pelo Sistema Público de Escrituração Digital (SPED), vedada a sua substituição por balancetes ou balanços provisórios, podendo ser atualizados por índices oficiais, quando encerrados há mais de 3 (três) meses da data de apresentação da proposta;</w:t>
      </w:r>
    </w:p>
    <w:p w14:paraId="26D94CEF"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Serão considerados aceitos, como na forma da lei, o balanço patrimonial e demonstrações contábeis assim apresentados:</w:t>
      </w:r>
    </w:p>
    <w:p w14:paraId="7969380D"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Publicados em Diário Oficial; ou</w:t>
      </w:r>
    </w:p>
    <w:p w14:paraId="549832A6"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Publicados em jornal de grande circulação; ou</w:t>
      </w:r>
    </w:p>
    <w:p w14:paraId="6DDBE1BE"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Por fotocópia registrada ou autenticada na Junta Comercial da sede ou domicílio do licitante; ou</w:t>
      </w:r>
    </w:p>
    <w:p w14:paraId="27703541"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Por fotocópia do Balanço Patrimonial extraído do Livro Diário, acompanhado dos Termos de Abertura e de Encerramento, devidamente registrados na Junta Comercial da sede ou domicílio do licitante ou em outro órgão equivalente; ou</w:t>
      </w:r>
    </w:p>
    <w:p w14:paraId="16B7C293"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Sociedade criada no exercício em curso deverá apresentar Fotocópia do Balanço de Abertura, devidamente registrado ou autenticado na Junta Comercial da sede ou domicílio do licitante; ou</w:t>
      </w:r>
    </w:p>
    <w:p w14:paraId="22B05194"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As empresas optantes ou submetidas ao Sistema Público de Escrituração Digital (SPED) apresentarão o balanço patrimonial na forma da lei e das Instruções Normativas da Receita Federal do Brasil, que tratam de Escrituração Contábil Digital (ECD), sendo que a autenticação do balanço patrimonial em formato digital será comprovada por meio do recibo de entrega emitido pelo Sistema Público de Escrituração Digital (SPED), quando do envio da Escrituração Contábil Digital (ECD), nos termos do §1º do art. 78-A do Decreto Federal nº 1.800/96, incluído pelo Decreto Federal nº 8.638/16, e art. 2º do Decreto Federal nº 9.555/18;</w:t>
      </w:r>
    </w:p>
    <w:p w14:paraId="61365BE0"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demonstrativos contábeis deverão estar assinados pelo representante legal da empresa e contabilista responsável, ou por outro profissional equivalente, devidamente registrado no Conselho Regional de Contabilidade;</w:t>
      </w:r>
    </w:p>
    <w:p w14:paraId="7D6F9AA8"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Comprovação de patrimônio líquido igual ou superior a 10% do valor estimado da licitação. No caso de consórcio, está estabelecido acréscimo de 30% sobre o valor exigido de licitante individual;</w:t>
      </w:r>
    </w:p>
    <w:p w14:paraId="3D8D09A8"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Certidão negativa de falência ou recuperação judicial, expedida pelo distribuidor da sede da pessoa jurídica há menos de 90 (noventa) dias da data da licitação, exceto quando dela constar o prazo de validade:</w:t>
      </w:r>
    </w:p>
    <w:p w14:paraId="66B837CA" w14:textId="77777777" w:rsidR="001F1278" w:rsidRDefault="00000000">
      <w:pPr>
        <w:tabs>
          <w:tab w:val="left" w:pos="567"/>
        </w:tabs>
        <w:spacing w:before="12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No caso de as certidões apontarem a existência de algum fato ou processo relativo à solicitação de recuperação judicial, a empresa deverá apresentar a certidão emitida pelo foro competente, informando em que fase se encontra o feito em juízo; </w:t>
      </w:r>
    </w:p>
    <w:p w14:paraId="44411E58" w14:textId="77777777" w:rsidR="001F1278" w:rsidRDefault="00000000">
      <w:pPr>
        <w:tabs>
          <w:tab w:val="left" w:pos="567"/>
        </w:tabs>
        <w:spacing w:before="12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 Não será causa de inabilitação do licitante a anotação de distribuição de processo de recuperação judicial ou de pedido de homologação de recuperação extrajudicial, caso seja comprovado, no momento da entrega da documentação exigida no presente item, que o plano de recuperação já foi aprovado ou homologado pelo Juízo competente; </w:t>
      </w:r>
    </w:p>
    <w:p w14:paraId="1135E745" w14:textId="77777777" w:rsidR="001F1278" w:rsidRDefault="00000000">
      <w:pPr>
        <w:numPr>
          <w:ilvl w:val="2"/>
          <w:numId w:val="1"/>
        </w:numPr>
        <w:pBdr>
          <w:top w:val="nil"/>
          <w:left w:val="nil"/>
          <w:bottom w:val="nil"/>
          <w:right w:val="nil"/>
          <w:between w:val="nil"/>
        </w:pBdr>
        <w:tabs>
          <w:tab w:val="left" w:pos="567"/>
        </w:tabs>
        <w:spacing w:before="120"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Declaração passada pelo foro de sua sede ou qualquer outro documento idôneo que indique os cartórios ou ofícios de registro que controlam a distribuição dos pedidos de falências e concordatas;</w:t>
      </w:r>
    </w:p>
    <w:p w14:paraId="5BF5F89D" w14:textId="77777777" w:rsidR="001F1278" w:rsidRDefault="00000000">
      <w:pPr>
        <w:numPr>
          <w:ilvl w:val="2"/>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Declaração firmada pela licitante expressando não empregar menor de dezoito anos em trabalho noturno, perigoso ou insalubre e menores de dezesseis anos, salvo a partir de quatorze anos, na condição de aprendiz, em cumprimento ao disposto no inciso XXXIII do art. 7º da Constituição Federal de 1988 e de acordo com a Lei Federal nº 9.854/99, regulamentada pelo Decreto nº 4.358/02.</w:t>
      </w:r>
    </w:p>
    <w:p w14:paraId="064F81DF" w14:textId="77777777" w:rsidR="001F1278" w:rsidRDefault="001F1278">
      <w:pPr>
        <w:tabs>
          <w:tab w:val="left" w:pos="567"/>
        </w:tabs>
        <w:spacing w:line="240" w:lineRule="auto"/>
        <w:jc w:val="both"/>
        <w:rPr>
          <w:rFonts w:ascii="Times New Roman" w:eastAsia="Times New Roman" w:hAnsi="Times New Roman" w:cs="Times New Roman"/>
          <w:sz w:val="24"/>
          <w:szCs w:val="24"/>
        </w:rPr>
      </w:pPr>
    </w:p>
    <w:p w14:paraId="3335EB87"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GARANTIA DA CONTRATAÇÃO</w:t>
      </w:r>
    </w:p>
    <w:p w14:paraId="369977A1"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exigência de garantia da proposta tende a criar desestímulos à participação do licitante aventureiro, já que ele apenas participará se tiver segurança de que pode manter a proposta firmada ou mostrar a documentação exigida para a contratação, servindo como eficiente sinalização de sua condição de aptidão. Por conta de tudo isso, entendemos que a garantia de proposta como requisito de pré-habilitação pode ser um excelente instrumento capaz de regular positivamente a licitação, a fim de desestimular a participação de licitantes irresponsáveis e aventureiros, preservando o interesse público e, consequentemente, salvaguardando a obtenção da vantajosidade.</w:t>
      </w:r>
    </w:p>
    <w:p w14:paraId="388F304F"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lastRenderedPageBreak/>
        <w:t>De acordo com o art. 58 da Lei nº 14.133/2021, poderá ser exigida no momento da habilitação, desde que prevista no edital, a comprovação de recolhimento, pelo licitante, de quantia a título de garantia de proposta, como requisito de pré-habilitação. Requisito para todos os que querem participar da licitação, e tem por funcionalidade sinalizar uma atuação responsável da empresa, coibindo a participação no certame de licitantes aventureiros.</w:t>
      </w:r>
    </w:p>
    <w:p w14:paraId="683D11DA"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exigência de garantia será de 1% (um por cento) do valor estimado para a contratação, sendo possível a escolha da modalidade de garantia, pelo licitante.</w:t>
      </w:r>
    </w:p>
    <w:p w14:paraId="09E2B928"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Tratando-se de um requisito de pré-habilitação, estando ela exigida, caso o licitante não a apresente oportunamente, deve ter sua proposta desclassificada.</w:t>
      </w:r>
    </w:p>
    <w:p w14:paraId="59E5E8A7"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garantia apresentada deve ser devolvida no prazo de 10 (dez) dias úteis, sendo o prazo iniciado a partir da assinatura do contrato ou da data em que for declarada fracassada a licitação.</w:t>
      </w:r>
    </w:p>
    <w:p w14:paraId="641B468D" w14:textId="77777777" w:rsidR="001F1278" w:rsidRDefault="00000000">
      <w:pPr>
        <w:numPr>
          <w:ilvl w:val="1"/>
          <w:numId w:val="1"/>
        </w:numPr>
        <w:pBdr>
          <w:top w:val="nil"/>
          <w:left w:val="nil"/>
          <w:bottom w:val="nil"/>
          <w:right w:val="nil"/>
          <w:between w:val="nil"/>
        </w:pBdr>
        <w:tabs>
          <w:tab w:val="left" w:pos="567"/>
        </w:tabs>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Quanto à execução da garantia, importante frisar que ela somente ocorrerá caso o licitante se recuse assinar o contrato ou não apresente os documentos necessários para a contratação, pois a mera inabilitação ou desclassificação do participante na licitação não é motivo para que haja execução da garantia de proposta.</w:t>
      </w:r>
    </w:p>
    <w:p w14:paraId="056E810B" w14:textId="77777777" w:rsidR="001F1278" w:rsidRDefault="00000000">
      <w:pPr>
        <w:numPr>
          <w:ilvl w:val="1"/>
          <w:numId w:val="1"/>
        </w:numPr>
        <w:pBdr>
          <w:top w:val="nil"/>
          <w:left w:val="nil"/>
          <w:bottom w:val="nil"/>
          <w:right w:val="nil"/>
          <w:between w:val="nil"/>
        </w:pBdr>
        <w:tabs>
          <w:tab w:val="left" w:pos="567"/>
        </w:tabs>
        <w:spacing w:after="160"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A garantia de proposta poderá ser prestada nas modalidades de que trata o § 1º do art. 96 da Lei Federal 14.133/21.</w:t>
      </w:r>
    </w:p>
    <w:p w14:paraId="7B593319" w14:textId="77777777" w:rsidR="001F1278" w:rsidRDefault="001F1278">
      <w:pPr>
        <w:tabs>
          <w:tab w:val="left" w:pos="567"/>
        </w:tabs>
        <w:spacing w:before="120" w:line="240" w:lineRule="auto"/>
        <w:jc w:val="both"/>
        <w:rPr>
          <w:rFonts w:ascii="Times New Roman" w:eastAsia="Times New Roman" w:hAnsi="Times New Roman" w:cs="Times New Roman"/>
          <w:sz w:val="24"/>
          <w:szCs w:val="24"/>
        </w:rPr>
      </w:pPr>
    </w:p>
    <w:p w14:paraId="280A3773"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VISTORIA</w:t>
      </w:r>
    </w:p>
    <w:p w14:paraId="2AFE09E0" w14:textId="77777777" w:rsidR="001F1278" w:rsidRDefault="00000000">
      <w:pPr>
        <w:numPr>
          <w:ilvl w:val="1"/>
          <w:numId w:val="1"/>
        </w:numPr>
        <w:pBdr>
          <w:top w:val="nil"/>
          <w:left w:val="nil"/>
          <w:bottom w:val="nil"/>
          <w:right w:val="nil"/>
          <w:between w:val="nil"/>
        </w:pBdr>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Para o correto dimensionamento e elaboração da proposta, os licitantes poderão realizar vistoria nas instalações do local de execução dos serviços, acompanhado por servidor designado para esse fim, de segunda à sexta-feira, das 09 horas às 16 horas, devendo o agendamento ser efetuado previamente pelo e-mail </w:t>
      </w:r>
      <w:hyperlink r:id="rId10">
        <w:r w:rsidR="001F1278">
          <w:rPr>
            <w:rFonts w:ascii="Times New Roman" w:eastAsia="Times New Roman" w:hAnsi="Times New Roman" w:cs="Times New Roman"/>
            <w:color w:val="000000"/>
            <w:sz w:val="24"/>
            <w:szCs w:val="24"/>
          </w:rPr>
          <w:t>adm.educacao@arraial.rj.gov.br</w:t>
        </w:r>
      </w:hyperlink>
      <w:r>
        <w:rPr>
          <w:rFonts w:ascii="Times New Roman" w:eastAsia="Times New Roman" w:hAnsi="Times New Roman" w:cs="Times New Roman"/>
          <w:color w:val="000000"/>
          <w:sz w:val="24"/>
          <w:szCs w:val="24"/>
        </w:rPr>
        <w:t>;</w:t>
      </w:r>
    </w:p>
    <w:p w14:paraId="6ECD9AB5" w14:textId="77777777" w:rsidR="001F1278" w:rsidRDefault="00000000">
      <w:pPr>
        <w:numPr>
          <w:ilvl w:val="1"/>
          <w:numId w:val="1"/>
        </w:numPr>
        <w:pBdr>
          <w:top w:val="nil"/>
          <w:left w:val="nil"/>
          <w:bottom w:val="nil"/>
          <w:right w:val="nil"/>
          <w:between w:val="nil"/>
        </w:pBdr>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O prazo para vistoria iniciar-se-á no dia útil seguinte ao da publicação do Edital, estendendo-se até o dia útil anterior à data prevista para a abertura da sessão pública;</w:t>
      </w:r>
    </w:p>
    <w:p w14:paraId="60B504C4" w14:textId="77777777" w:rsidR="001F1278" w:rsidRDefault="00000000">
      <w:pPr>
        <w:numPr>
          <w:ilvl w:val="1"/>
          <w:numId w:val="1"/>
        </w:numPr>
        <w:pBdr>
          <w:top w:val="nil"/>
          <w:left w:val="nil"/>
          <w:bottom w:val="nil"/>
          <w:right w:val="nil"/>
          <w:between w:val="nil"/>
        </w:pBdr>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Para a vistoria, o licitante ou o seu representante legal deverá estar devidamente identificado, apresentando documento de identidade civil e documento expedido pela empresa comprovando sua habilitação para a realização da vistoria;</w:t>
      </w:r>
    </w:p>
    <w:p w14:paraId="1B84CC84" w14:textId="77777777" w:rsidR="001F1278" w:rsidRDefault="00000000">
      <w:pPr>
        <w:numPr>
          <w:ilvl w:val="1"/>
          <w:numId w:val="1"/>
        </w:numPr>
        <w:pBdr>
          <w:top w:val="nil"/>
          <w:left w:val="nil"/>
          <w:bottom w:val="nil"/>
          <w:right w:val="nil"/>
          <w:between w:val="nil"/>
        </w:pBdr>
        <w:spacing w:line="360" w:lineRule="auto"/>
        <w:ind w:left="0" w:firstLine="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É preferencial a realização de Visita Técnica. Caso a licitante opte por não realizar a visita técnica, a mesma deverá apresentar declaração de desinteresse de visita técnica conforme modelo presente anexo ao Edital. No caso de declaração de desinteresse de visita técnica, seja </w:t>
      </w:r>
      <w:r>
        <w:rPr>
          <w:rFonts w:ascii="Times New Roman" w:eastAsia="Times New Roman" w:hAnsi="Times New Roman" w:cs="Times New Roman"/>
          <w:color w:val="000000"/>
          <w:sz w:val="24"/>
          <w:szCs w:val="24"/>
        </w:rPr>
        <w:lastRenderedPageBreak/>
        <w:t>por conhecimento prévio do local e estrutura ou quaisquer outros motivos, a licitante assumirá risco interligados ao impreciso conhecimento do local ou desconhecimento do local como um todo.</w:t>
      </w:r>
    </w:p>
    <w:p w14:paraId="50A69A5A" w14:textId="77777777" w:rsidR="001F1278" w:rsidRDefault="001F1278">
      <w:pPr>
        <w:spacing w:line="240" w:lineRule="auto"/>
        <w:jc w:val="both"/>
        <w:rPr>
          <w:rFonts w:ascii="Times New Roman" w:eastAsia="Times New Roman" w:hAnsi="Times New Roman" w:cs="Times New Roman"/>
          <w:sz w:val="24"/>
          <w:szCs w:val="24"/>
        </w:rPr>
      </w:pPr>
    </w:p>
    <w:p w14:paraId="227C4397"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MODELO DE EXECUÇÃO DO OBJETO</w:t>
      </w:r>
    </w:p>
    <w:p w14:paraId="1439C9FB"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CONDIÇÕES DE EXECUÇÃO</w:t>
      </w:r>
    </w:p>
    <w:p w14:paraId="080658A9"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referida execução de serviços e elaboração deste Projeto Básico tem amparo legal na Lei nº 14.133, de 2021.</w:t>
      </w:r>
    </w:p>
    <w:p w14:paraId="768400E4"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prestação dos serviços não gera vínculo empregatício entre os empregados da Contratada e a Administração, vedando-se qualquer relação entre estes que caracterize pessoalidade e subordinação direta.</w:t>
      </w:r>
    </w:p>
    <w:p w14:paraId="41231F31"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realizar execução dos serviços, em consonância com as condições estipuladas neste Projeto básico, como:</w:t>
      </w:r>
    </w:p>
    <w:p w14:paraId="7B707815" w14:textId="77777777" w:rsidR="001F1278" w:rsidRDefault="00000000">
      <w:pPr>
        <w:numPr>
          <w:ilvl w:val="3"/>
          <w:numId w:val="1"/>
        </w:numPr>
        <w:pBdr>
          <w:top w:val="nil"/>
          <w:left w:val="nil"/>
          <w:bottom w:val="nil"/>
          <w:right w:val="nil"/>
          <w:between w:val="nil"/>
        </w:pBdr>
        <w:spacing w:line="360" w:lineRule="auto"/>
        <w:ind w:hanging="6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dispor durante o período de prestação dos serviços objeto da licitação, de equipe especializada e qualificada para prestação de cada etapa dos serviços.</w:t>
      </w:r>
    </w:p>
    <w:p w14:paraId="24BBC34E" w14:textId="77777777" w:rsidR="001F1278" w:rsidRDefault="00000000">
      <w:pPr>
        <w:numPr>
          <w:ilvl w:val="3"/>
          <w:numId w:val="1"/>
        </w:numPr>
        <w:pBdr>
          <w:top w:val="nil"/>
          <w:left w:val="nil"/>
          <w:bottom w:val="nil"/>
          <w:right w:val="nil"/>
          <w:between w:val="nil"/>
        </w:pBdr>
        <w:spacing w:line="360" w:lineRule="auto"/>
        <w:ind w:hanging="6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emitir Anotação de Responsabilidade Técnica (ART) pelos serviços prestados.</w:t>
      </w:r>
    </w:p>
    <w:p w14:paraId="52403C9C" w14:textId="77777777" w:rsidR="001F1278" w:rsidRDefault="00000000">
      <w:pPr>
        <w:numPr>
          <w:ilvl w:val="3"/>
          <w:numId w:val="1"/>
        </w:numPr>
        <w:pBdr>
          <w:top w:val="nil"/>
          <w:left w:val="nil"/>
          <w:bottom w:val="nil"/>
          <w:right w:val="nil"/>
          <w:between w:val="nil"/>
        </w:pBdr>
        <w:spacing w:line="360" w:lineRule="auto"/>
        <w:ind w:hanging="6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serviços serão executados, no período e locais indicados pelo CONTRATANTE, através de “Ordem de Serviços – O.S.”.</w:t>
      </w:r>
    </w:p>
    <w:p w14:paraId="05620C22" w14:textId="77777777" w:rsidR="001F1278" w:rsidRDefault="00000000">
      <w:pPr>
        <w:numPr>
          <w:ilvl w:val="3"/>
          <w:numId w:val="1"/>
        </w:numPr>
        <w:pBdr>
          <w:top w:val="nil"/>
          <w:left w:val="nil"/>
          <w:bottom w:val="nil"/>
          <w:right w:val="nil"/>
          <w:between w:val="nil"/>
        </w:pBdr>
        <w:spacing w:line="360" w:lineRule="auto"/>
        <w:ind w:hanging="6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prazos para término dos serviços estarão vinculados ao cronograma de execução fornecido pela CONTRATADA, devidamente aprovados pela FISCALIZAÇÃO, devendo ainda, ser iniciado após o recebimento da O.S., conforme prazos pré-estabelecidos pelo FISCAL na O.S., que será emitida somente após aprovação dos custos e quantitativos, com o devido valor empenhado e termo contratual celebrado</w:t>
      </w:r>
    </w:p>
    <w:p w14:paraId="1D783791" w14:textId="77777777" w:rsidR="001F1278" w:rsidRDefault="00000000">
      <w:pPr>
        <w:numPr>
          <w:ilvl w:val="3"/>
          <w:numId w:val="1"/>
        </w:numPr>
        <w:pBdr>
          <w:top w:val="nil"/>
          <w:left w:val="nil"/>
          <w:bottom w:val="nil"/>
          <w:right w:val="nil"/>
          <w:between w:val="nil"/>
        </w:pBdr>
        <w:spacing w:line="360" w:lineRule="auto"/>
        <w:ind w:hanging="64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Fica estabelecido que a logística cronológica para o início da execução dos serviços será estabelecida entre a CONTRATADA e a CONTRATANTE, e constará na O.S., uma vez que esta análise depende de vários fatores, como: situação de emergência, estrada, pontes, urgência da execução ou não, demanda de trabalho nas unidades, dentre outros.</w:t>
      </w:r>
    </w:p>
    <w:p w14:paraId="27F86688"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 CONTRATADA deverá atender a toda e qualquer solicitação da FISCALIZAÇÃO afim de maiores esclarecimentos que podem mostrar-se necessários.</w:t>
      </w:r>
    </w:p>
    <w:p w14:paraId="7F82335D"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FISCALIZAÇÃO informará nas Ordens de Serviço o prazo máximo para conclusão dos serviços solicitados, prazo que deverá ser cumprido pela CONTRATADA.</w:t>
      </w:r>
    </w:p>
    <w:p w14:paraId="40F96D52"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executar o serviço utilizando-se dos materiais, equipamentos, ferramentas e utensílios próprios, necessário à perfeita execução contratual, conforme disposto no Projeto Básico.</w:t>
      </w:r>
    </w:p>
    <w:p w14:paraId="3BE3CA6A"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só poderá executar os serviços após o recebimento do documento denominado “Autorização de Serviços”, assinada pelo Fiscal do Contrato.</w:t>
      </w:r>
    </w:p>
    <w:p w14:paraId="2CD9265E"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serviços deverão ser iniciados em até 05 (cinco) dias após a “Autorização de Serviços”;</w:t>
      </w:r>
    </w:p>
    <w:p w14:paraId="21A1A02B"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disponibilizar equipe devidamente uniformizada para cada tipo de prestação de serviço.</w:t>
      </w:r>
    </w:p>
    <w:p w14:paraId="508A580E"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serviços que não tenham sido autorizados formalmente serão desconsiderados para fins de pagamento, não cabendo à CONTRATADA qualquer alegação em contrário.</w:t>
      </w:r>
    </w:p>
    <w:p w14:paraId="6660E108"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elaborar cronograma de execução dos serviços e submetê-lo à aprovação do Fiscal do contrato para que o Fundo Municipal de Educação aprove ou não. Em caso de reprovação, será solicitada a elaboração de novo cronograma que atenda às necessidades pertinentes desta contratação.</w:t>
      </w:r>
    </w:p>
    <w:p w14:paraId="2DA5E8D8"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serviços deverão ser prestados utilizando de maquinários que proporcionem maior eficácia, celeridade e segurança a contratação. Entres estes maquinários encontram-se pá-carregadeira, rompedor hidráulico, escavadeira e demais máquinas necessárias a demolição dos prédios, além de mobilização e retirada dos entulhos.</w:t>
      </w:r>
    </w:p>
    <w:p w14:paraId="50E26063"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deverá também realizar demarcações dos locais que receberão as obras, entre estes serviços estão inclusos a instalação de vedação e proteção e de placas de identificação de obra pública conforme descrição no detalhamento do objeto.</w:t>
      </w:r>
    </w:p>
    <w:p w14:paraId="17989F77"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Contratada será responsável pela limpeza da área, ao término dos serviços, que deverá entregar todas as áreas em condição de uso imediato.</w:t>
      </w:r>
    </w:p>
    <w:p w14:paraId="552A687A"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Deverá ser realizada a remoção de todo o entulho da obra, deixando-a completamente desimpedida de todos os resíduos de construção.</w:t>
      </w:r>
    </w:p>
    <w:p w14:paraId="56F6FEC3" w14:textId="77777777" w:rsidR="001F1278" w:rsidRDefault="00000000">
      <w:pPr>
        <w:numPr>
          <w:ilvl w:val="2"/>
          <w:numId w:val="1"/>
        </w:numPr>
        <w:pBdr>
          <w:top w:val="nil"/>
          <w:left w:val="nil"/>
          <w:bottom w:val="nil"/>
          <w:right w:val="nil"/>
          <w:between w:val="nil"/>
        </w:pBdr>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Para assegurar a entrega da obra em perfeito estado, a Contratada deverá executar todos os arremates que julgar necessários, bem como os determinados pela Fiscalização.</w:t>
      </w:r>
    </w:p>
    <w:p w14:paraId="5C987500" w14:textId="77777777" w:rsidR="001F1278" w:rsidRDefault="001F1278">
      <w:pPr>
        <w:spacing w:line="240" w:lineRule="auto"/>
        <w:jc w:val="both"/>
        <w:rPr>
          <w:rFonts w:ascii="Times New Roman" w:eastAsia="Times New Roman" w:hAnsi="Times New Roman" w:cs="Times New Roman"/>
          <w:sz w:val="24"/>
          <w:szCs w:val="24"/>
        </w:rPr>
      </w:pPr>
    </w:p>
    <w:p w14:paraId="5FCD6BFF"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ESPECIFICAÇÃO DA GARANTIA DO SERVIÇO</w:t>
      </w:r>
    </w:p>
    <w:p w14:paraId="66B4FE29" w14:textId="77777777" w:rsidR="001F1278" w:rsidRDefault="00000000">
      <w:pPr>
        <w:pBdr>
          <w:top w:val="nil"/>
          <w:left w:val="nil"/>
          <w:bottom w:val="nil"/>
          <w:right w:val="nil"/>
          <w:between w:val="nil"/>
        </w:pBdr>
        <w:tabs>
          <w:tab w:val="left" w:pos="567"/>
        </w:tabs>
        <w:spacing w:line="360" w:lineRule="auto"/>
        <w:jc w:val="both"/>
        <w:rPr>
          <w:rFonts w:ascii="Times New Roman" w:eastAsia="Times New Roman" w:hAnsi="Times New Roman" w:cs="Times New Roman"/>
          <w:color w:val="000000"/>
          <w:sz w:val="24"/>
          <w:szCs w:val="24"/>
        </w:rPr>
      </w:pPr>
      <w:r w:rsidRPr="00482CAF">
        <w:rPr>
          <w:rFonts w:ascii="Times New Roman" w:eastAsia="Times New Roman" w:hAnsi="Times New Roman" w:cs="Times New Roman"/>
          <w:sz w:val="24"/>
          <w:szCs w:val="24"/>
        </w:rPr>
        <w:t>Deverá ser exigido prestação de garantia de 1% (cinco por cento) do valor inici</w:t>
      </w:r>
      <w:r w:rsidRPr="00482CAF">
        <w:rPr>
          <w:sz w:val="20"/>
          <w:szCs w:val="20"/>
        </w:rPr>
        <w:t xml:space="preserve">al do contrato, </w:t>
      </w:r>
      <w:r>
        <w:rPr>
          <w:rFonts w:ascii="Times New Roman" w:eastAsia="Times New Roman" w:hAnsi="Times New Roman" w:cs="Times New Roman"/>
          <w:color w:val="000000"/>
          <w:sz w:val="24"/>
          <w:szCs w:val="24"/>
        </w:rPr>
        <w:t>para contratação em conformidade com o Art. 96 da Lei Federal 14.133/2021.</w:t>
      </w:r>
    </w:p>
    <w:p w14:paraId="488753A5"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1º Caberá ao contratado optar por uma das seguintes modalidades de garantia:</w:t>
      </w:r>
    </w:p>
    <w:p w14:paraId="0AA0B83D"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52C8A0B9"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bookmarkStart w:id="0" w:name="bookmark=id.5uqr25ydsy39" w:colFirst="0" w:colLast="0"/>
      <w:bookmarkEnd w:id="0"/>
      <w:r>
        <w:rPr>
          <w:rFonts w:ascii="Times New Roman" w:eastAsia="Times New Roman" w:hAnsi="Times New Roman" w:cs="Times New Roman"/>
          <w:color w:val="000000"/>
          <w:sz w:val="24"/>
          <w:szCs w:val="24"/>
        </w:rPr>
        <w:t>II - Seguro-garantia;</w:t>
      </w:r>
    </w:p>
    <w:p w14:paraId="75CACB9F"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bookmarkStart w:id="1" w:name="bookmark=id.v5v0lf4k92n8" w:colFirst="0" w:colLast="0"/>
      <w:bookmarkEnd w:id="1"/>
      <w:r>
        <w:rPr>
          <w:rFonts w:ascii="Times New Roman" w:eastAsia="Times New Roman" w:hAnsi="Times New Roman" w:cs="Times New Roman"/>
          <w:color w:val="000000"/>
          <w:sz w:val="24"/>
          <w:szCs w:val="24"/>
        </w:rPr>
        <w:t>III - fiança bancária emitida por banco ou instituição financeira devidamente autorizada a operar no País pelo Banco Central do Brasil.</w:t>
      </w:r>
      <w:bookmarkStart w:id="2" w:name="bookmark=id.252qfzcwaud2" w:colFirst="0" w:colLast="0"/>
      <w:bookmarkEnd w:id="2"/>
    </w:p>
    <w:p w14:paraId="7FF27A9C"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 - Título de capitalização custeado por pagamento único, com resgate pelo valor total.</w:t>
      </w:r>
    </w:p>
    <w:p w14:paraId="1456A996"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2º Na hipótese de suspensão do contrato por ordem ou inadimplemento da Administração, o contratado ficará desobrigado de renovar a garantia ou de endossar a apólice de seguro até a ordem de reinício da execução ou o adimplemento pela Administração.</w:t>
      </w:r>
    </w:p>
    <w:p w14:paraId="5BB49D28"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títulos de dívida pública, somente serão aceitos como garantia, desde que comprovada sua escrituração em sistema centralizado de liquidação e custódia, pelo seu valor econômico, conforme definido pelo Ministério da Fazenda (artigo 61, da Lei de Responsabilidade Fiscal, LC 101, de 2000);</w:t>
      </w:r>
    </w:p>
    <w:p w14:paraId="3AFDF42E"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Perderá direito à restituição da caução, com reversão do valor para os cofres da empresa pública, a licitante vencedora que não oferecer as garantias exigidas para a assinatura do contrato ou que se recusar a assiná-lo no prazo em que para tanto for convocada.</w:t>
      </w:r>
    </w:p>
    <w:p w14:paraId="3B8D4AB9" w14:textId="77777777" w:rsidR="001F1278" w:rsidRDefault="001F1278">
      <w:pPr>
        <w:spacing w:line="240" w:lineRule="auto"/>
        <w:ind w:firstLine="426"/>
        <w:jc w:val="both"/>
        <w:rPr>
          <w:rFonts w:ascii="Times New Roman" w:eastAsia="Times New Roman" w:hAnsi="Times New Roman" w:cs="Times New Roman"/>
          <w:sz w:val="24"/>
          <w:szCs w:val="24"/>
        </w:rPr>
      </w:pPr>
    </w:p>
    <w:p w14:paraId="36787605"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MODELO DE GESTÃO DO CONTRATO</w:t>
      </w:r>
    </w:p>
    <w:p w14:paraId="46547D5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contrato deverá ser executado fielmente pelas partes, de acordo com as cláusulas avençadas e as normas da Lei nº 14.133, de 2021, e cada parte responderá pelas consequências de sua inexecução total ou parcial.</w:t>
      </w:r>
    </w:p>
    <w:p w14:paraId="3259AFE0"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Em caso de impedimento, ordem de paralisação ou suspensão do contrato, o cronograma de execução será prorrogado automaticamente pelo tempo correspondente, anotadas tais circunstâncias mediante simples apostila.</w:t>
      </w:r>
    </w:p>
    <w:p w14:paraId="35BCF779"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 comunicações entre o órgão ou entidade e o Contratado devem ser realizadas por escrito sempre que o ato exigir tal formalidade, admitindo-se o uso de mensagem eletrônica para esse fim. O órgão ou entidade poderá convocar o preposto da empresa para adoção de providências que devam ser cumpridas de imediato.</w:t>
      </w:r>
    </w:p>
    <w:p w14:paraId="2D6EA14B" w14:textId="77777777" w:rsidR="001F1278" w:rsidRDefault="001F1278">
      <w:pPr>
        <w:spacing w:line="240" w:lineRule="auto"/>
        <w:ind w:firstLine="426"/>
        <w:jc w:val="both"/>
        <w:rPr>
          <w:rFonts w:ascii="Times New Roman" w:eastAsia="Times New Roman" w:hAnsi="Times New Roman" w:cs="Times New Roman"/>
          <w:sz w:val="24"/>
          <w:szCs w:val="24"/>
        </w:rPr>
      </w:pPr>
    </w:p>
    <w:p w14:paraId="082E86E7"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ROTINAS DE FISCALIZAÇÃO</w:t>
      </w:r>
    </w:p>
    <w:p w14:paraId="7BF9F86C" w14:textId="77777777" w:rsidR="001F1278" w:rsidRDefault="00000000">
      <w:pPr>
        <w:spacing w:line="360" w:lineRule="auto"/>
        <w:ind w:firstLine="426"/>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A execução do contrato deverá ser acompanhada e fiscalizada pelo(s) fiscal(is) do contrato, ou pelos respectivos substitutos.</w:t>
      </w:r>
    </w:p>
    <w:p w14:paraId="3FBC4364"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FISCALIZAÇÃO TÉCNICA</w:t>
      </w:r>
    </w:p>
    <w:p w14:paraId="34722C6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fiscal do contrato acompanhará a execução do contrato, para que sejam cumpridas todas as condições estabelecidas no contrato, de modo a assegurar os melhores resultados para a Administração.</w:t>
      </w:r>
    </w:p>
    <w:p w14:paraId="1B1EDD97"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fiscal do contrato anotará no histórico de gerenciamento do contrato todas as ocorrências relacionadas à execução do contrato, com a descrição do que for necessário para a regularização das faltas ou dos defeitos observados.</w:t>
      </w:r>
    </w:p>
    <w:p w14:paraId="0A279FB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Identificada qualquer inexatidão ou irregularidade, o fiscal do contrato emitirá notificações para a correção da execução do contrato, determinando prazo para a correção.</w:t>
      </w:r>
    </w:p>
    <w:p w14:paraId="2D27936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fiscal do contrato informará ao gestor do contato, em tempo hábil, a situação que demandar decisão ou adoção de medidas que ultrapassem sua competência, para que adote as medidas necessárias e saneadoras, se for o caso.</w:t>
      </w:r>
    </w:p>
    <w:p w14:paraId="624F121D"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caso de ocorrências que possam inviabilizar a execução do contrato nas datas aprazadas, o fiscal do contrato comunicará o fato imediatamente ao gestor do contrato.</w:t>
      </w:r>
    </w:p>
    <w:p w14:paraId="0E76BCC1"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 </w:t>
      </w:r>
    </w:p>
    <w:p w14:paraId="7C33DFE6" w14:textId="77777777" w:rsidR="001F1278" w:rsidRDefault="001F1278">
      <w:pPr>
        <w:spacing w:line="240" w:lineRule="auto"/>
        <w:jc w:val="both"/>
        <w:rPr>
          <w:rFonts w:ascii="Times New Roman" w:eastAsia="Times New Roman" w:hAnsi="Times New Roman" w:cs="Times New Roman"/>
          <w:sz w:val="24"/>
          <w:szCs w:val="24"/>
        </w:rPr>
      </w:pPr>
    </w:p>
    <w:p w14:paraId="6D2165B3"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DA FISCALIZAÇÃO ADMINISTRATIVA</w:t>
      </w:r>
    </w:p>
    <w:p w14:paraId="35477AA4"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1238ADBD"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Caso ocorra descumprimento das obrigações contratuais, o fiscal do contrato atuará tempestivamente na solução do problema, reportando ao gestor do contrato para que tome as providências cabíveis, quando ultrapassar a sua competência.</w:t>
      </w:r>
    </w:p>
    <w:p w14:paraId="236DDC11"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 fiscalização do cumprimento das obrigações trabalhistas e sociais exigir-se-á, dentre outras, as seguintes comprovações:</w:t>
      </w:r>
    </w:p>
    <w:p w14:paraId="48A038B0"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bookmarkStart w:id="3" w:name="_heading=h.awuq3luee5ho" w:colFirst="0" w:colLast="0"/>
      <w:bookmarkEnd w:id="3"/>
      <w:r>
        <w:rPr>
          <w:rFonts w:ascii="Times New Roman" w:eastAsia="Times New Roman" w:hAnsi="Times New Roman" w:cs="Times New Roman"/>
          <w:color w:val="000000"/>
          <w:sz w:val="24"/>
          <w:szCs w:val="24"/>
        </w:rPr>
        <w:t>No caso de empresas regidas pela Consolidação das Leis do Trabalho (CLT) no primeiro mês da prestação dos serviços, a contratada deverá apresentar a seguinte documentação:</w:t>
      </w:r>
    </w:p>
    <w:p w14:paraId="45ABA0D6"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Relação dos empregados, contendo nome completo, cargo ou função, números da carteira de identidade (RG) e da inscrição no Cadastro de Pessoas Físicas (CPF), com indicação dos responsáveis técnicos pela execução dos serviços, quando for o caso;</w:t>
      </w:r>
    </w:p>
    <w:p w14:paraId="644616F8"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Carteira de Trabalho e Previdência Social (CTPS) dos empregados admitidos e dos responsáveis técnicos pela execução dos serviços, quando for o caso, devidamente assinada pela contratada;</w:t>
      </w:r>
    </w:p>
    <w:p w14:paraId="6FEC1124"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Entrega até o dia trinta do mês seguinte ao da prestação dos serviços ao setor responsável pela fiscalização do contrato dos seguintes documentos:</w:t>
      </w:r>
    </w:p>
    <w:p w14:paraId="4E5A853E"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Certidão Negativa de Débitos relativos a Créditos Tributários Federais e à Dívida Ativa da União (CND);</w:t>
      </w:r>
    </w:p>
    <w:p w14:paraId="01B67C69"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Certidões que comprovem a regularidade perante as Fazendas Estadual, Distrital e Municipal do domicílio ou sede do Contratado;</w:t>
      </w:r>
    </w:p>
    <w:p w14:paraId="50CF764D"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Certidão de Regularidade do FGTS (CRF); e</w:t>
      </w:r>
    </w:p>
    <w:p w14:paraId="41FA3D9E"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Certidão Negativa de Débitos Trabalhistas (CNDT).</w:t>
      </w:r>
    </w:p>
    <w:p w14:paraId="381AB87B"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Entrega, quando solicitado pelo Contratante, de quaisquer dos seguintes documentos:</w:t>
      </w:r>
    </w:p>
    <w:p w14:paraId="7424179A"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Extrato da conta do INSS e do FGTS de qualquer empregado, a critério da Administração Contratante;</w:t>
      </w:r>
    </w:p>
    <w:p w14:paraId="27AA75BE"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Cópia da folha de pagamento analítica de qualquer mês da prestação dos serviços, em que conste como tomador a parte contratante;</w:t>
      </w:r>
    </w:p>
    <w:p w14:paraId="5173CB2C"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Cópia dos contracheques dos empregados relativos a qualquer mês da prestação dos serviços ou, ainda, quando necessário, cópia de recibos de depósitos bancários;</w:t>
      </w:r>
    </w:p>
    <w:p w14:paraId="624625F5"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Comprovantes de entrega de benefícios suplementares (vale-transporte, vale-alimentação, entre outros), a que estiver obrigada por força de lei ou de Convenção ou Acordo Coletivo de Trabalho, relativos a qualquer mês da prestação dos serviços e de qualquer empregado;</w:t>
      </w:r>
    </w:p>
    <w:p w14:paraId="382B1314"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bookmarkStart w:id="4" w:name="_heading=h.34mechqn09gg" w:colFirst="0" w:colLast="0"/>
      <w:bookmarkEnd w:id="4"/>
      <w:r>
        <w:rPr>
          <w:rFonts w:ascii="Times New Roman" w:eastAsia="Times New Roman" w:hAnsi="Times New Roman" w:cs="Times New Roman"/>
          <w:color w:val="000000"/>
          <w:sz w:val="24"/>
          <w:szCs w:val="24"/>
        </w:rPr>
        <w:t xml:space="preserve">- Comprovantes de realização de eventuais cursos de treinamento e reciclagem que forem exigidos por lei ou pelo contrato; </w:t>
      </w:r>
    </w:p>
    <w:p w14:paraId="6787AF65"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Os documentos necessários à comprovação do cumprimento das obrigações sociais trabalhistas poderão ser apresentados em original ou por qualquer processo de cópia autenticada por cartório competente ou por servidor da Administração.</w:t>
      </w:r>
    </w:p>
    <w:p w14:paraId="5B609A52"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descumprimento das obrigações trabalhistas ou a não manutenção das condições de habilitação pelo Contratado poderá dar ensejo à rescisão contratual, sem prejuízo das demais sanções.</w:t>
      </w:r>
    </w:p>
    <w:p w14:paraId="240D1375"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Administração Contratante poderá conceder um prazo para que o Contratado regularize suas obrigações trabalhistas ou suas condições de habilitação, sob pena de rescisão contratual, quando não identificar má-fé ou a incapacidade da empresa de corrigir.</w:t>
      </w:r>
    </w:p>
    <w:p w14:paraId="24B036EA"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Caso não seja apresentada a documentação comprobatória do cumprimento das obrigações trabalhistas, previdenciárias e para com o FGTS, o Contratante comunicará o fato ao Contratado e reterá o pagamento da fatura mensal, em valor proporcional ao inadimplemento, até que a situação seja regularizada. </w:t>
      </w:r>
    </w:p>
    <w:p w14:paraId="17376675"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contrato só será considerado integralmente cumprido após a comprovação, pelo Contratado, do pagamento de todas as obrigações trabalhistas, sociais e previdenciárias e para com o FGTS referentes à mão de obra alocada em sua execução, inclusive quanto às verbas rescisórias.</w:t>
      </w:r>
    </w:p>
    <w:p w14:paraId="436259DD"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Contratado é responsável pelos encargos trabalhistas, previdenciários, fiscais e comerciais resultantes da execução do contrato.</w:t>
      </w:r>
    </w:p>
    <w:p w14:paraId="2F1E5871"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 inadimplência do Contratado quanto aos encargos trabalhistas, fiscais e comerciais não transfere à Administração Pública a responsabilidade por seu pagamento. </w:t>
      </w:r>
    </w:p>
    <w:p w14:paraId="3A33A2C5" w14:textId="77777777" w:rsidR="001F1278" w:rsidRDefault="001F127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p>
    <w:p w14:paraId="69F8307D"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GESTOR DO CONTRATO</w:t>
      </w:r>
    </w:p>
    <w:p w14:paraId="71690BD7" w14:textId="77777777" w:rsidR="001F1278" w:rsidRDefault="00000000">
      <w:pPr>
        <w:pBdr>
          <w:top w:val="nil"/>
          <w:left w:val="nil"/>
          <w:bottom w:val="nil"/>
          <w:right w:val="nil"/>
          <w:between w:val="nil"/>
        </w:pBdr>
        <w:spacing w:line="360" w:lineRule="auto"/>
        <w:ind w:left="36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Cabe ao gestor do contrato:</w:t>
      </w:r>
    </w:p>
    <w:p w14:paraId="65F82E8A"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Coordenar a atualização do processo de acompanhamento e fiscalização do contrato contendo todos os registros formais da execução no histórico de gerenciamento do contrato.</w:t>
      </w:r>
    </w:p>
    <w:p w14:paraId="7D1E52A6"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Acompanhar os registros realizados pelos fiscais do contrato, de todas as ocorrências relacionadas à execução do contrato e as medidas adotadas, informando, se for o caso, à autoridade superior àquelas que ultrapassarem a sua competência.</w:t>
      </w:r>
    </w:p>
    <w:p w14:paraId="0F55A770"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Acompanhar a manutenção das condições de habilitação da contratada, para fins de empenho de despesa e pagamento, e anotará os problemas que obstem o fluxo normal da liquidação e do pagamento da despesa no relatório de riscos eventuais.</w:t>
      </w:r>
    </w:p>
    <w:p w14:paraId="64053459"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Emitir documento comprobatório da avaliação realizada pelos fiscais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36B6312B"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Tomar providências para a formalização de processo administrativo de responsabilização para fins de aplicação de sanções, a ser conduzido pelo agente ou pelo setor com competência para tal, conforme o caso.</w:t>
      </w:r>
    </w:p>
    <w:p w14:paraId="06891B9C"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Tomar providências para formalização, em tempo hábil, antes do término do contrato sob sua responsabilidade, dos termos aditivos com vistas à tempestiva renovação ou à prorrogação contratual, se for o caso.</w:t>
      </w:r>
    </w:p>
    <w:p w14:paraId="54F4F31B"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Elaborar relatório final com informações sobre a consecução dos objetivos que tenham justificado a contratação e eventuais condutas a serem adotadas para o aprimoramento das atividades da Administração.</w:t>
      </w:r>
    </w:p>
    <w:p w14:paraId="541F3EEE"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Receber e dar encaminhamento imediato:</w:t>
      </w:r>
    </w:p>
    <w:p w14:paraId="4DBE0E6C"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Às denúncias de discriminação, violência e assédio no ambiente de trabalho à notificação formal de que a empresa contratada está descumprindo suas obrigações trabalhistas, enviada pelo trabalhador, sindicato, Ministério do Trabalho, Ministério Público, Defensoria Pública ou por qualquer outro meio idôneo.</w:t>
      </w:r>
    </w:p>
    <w:p w14:paraId="0F3C1689" w14:textId="77777777" w:rsidR="001F1278" w:rsidRDefault="001F1278">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p>
    <w:p w14:paraId="0F393C52"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CRITÉRIO DE MEDIÇÃO E PAGAMENTO</w:t>
      </w:r>
    </w:p>
    <w:p w14:paraId="21CBD242" w14:textId="77777777" w:rsidR="001F1278" w:rsidRDefault="00000000">
      <w:pPr>
        <w:numPr>
          <w:ilvl w:val="1"/>
          <w:numId w:val="1"/>
        </w:numPr>
        <w:pBdr>
          <w:top w:val="nil"/>
          <w:left w:val="nil"/>
          <w:bottom w:val="nil"/>
          <w:right w:val="nil"/>
          <w:between w:val="nil"/>
        </w:pBdr>
        <w:tabs>
          <w:tab w:val="left" w:pos="426"/>
        </w:tabs>
        <w:spacing w:line="360" w:lineRule="auto"/>
        <w:ind w:left="0"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 xml:space="preserve">DO RECEBIMENTO </w:t>
      </w:r>
    </w:p>
    <w:p w14:paraId="234DF7DC" w14:textId="17F6247C"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Os objetos serão recebidos na forma abaixo discriminada, observado o disposto no art. </w:t>
      </w:r>
      <w:r w:rsidRPr="00B03134">
        <w:rPr>
          <w:rFonts w:ascii="Times New Roman" w:eastAsia="Times New Roman" w:hAnsi="Times New Roman" w:cs="Times New Roman"/>
          <w:sz w:val="24"/>
          <w:szCs w:val="24"/>
        </w:rPr>
        <w:t>140, I da Lei 14.133/21</w:t>
      </w:r>
      <w:r w:rsidR="00A01EA6" w:rsidRPr="00B03134">
        <w:rPr>
          <w:rFonts w:ascii="Times New Roman" w:eastAsia="Times New Roman" w:hAnsi="Times New Roman" w:cs="Times New Roman"/>
          <w:sz w:val="24"/>
          <w:szCs w:val="24"/>
        </w:rPr>
        <w:t>:</w:t>
      </w:r>
    </w:p>
    <w:p w14:paraId="04881B30" w14:textId="77777777" w:rsidR="00DB5458" w:rsidRDefault="00DB5458">
      <w:pPr>
        <w:spacing w:line="360" w:lineRule="auto"/>
        <w:ind w:firstLine="426"/>
        <w:jc w:val="both"/>
        <w:rPr>
          <w:rFonts w:ascii="Times New Roman" w:eastAsia="Times New Roman" w:hAnsi="Times New Roman" w:cs="Times New Roman"/>
          <w:sz w:val="24"/>
          <w:szCs w:val="24"/>
        </w:rPr>
      </w:pPr>
    </w:p>
    <w:p w14:paraId="787BB4DF" w14:textId="1DC81759" w:rsidR="00DB5458" w:rsidRPr="00DB5458" w:rsidRDefault="00DB5458" w:rsidP="00DB5458">
      <w:pPr>
        <w:pStyle w:val="PargrafodaLista"/>
        <w:numPr>
          <w:ilvl w:val="0"/>
          <w:numId w:val="10"/>
        </w:numPr>
        <w:spacing w:line="360" w:lineRule="auto"/>
        <w:jc w:val="both"/>
        <w:rPr>
          <w:rFonts w:ascii="Times New Roman" w:eastAsia="Times New Roman" w:hAnsi="Times New Roman" w:cs="Times New Roman"/>
          <w:i/>
          <w:iCs/>
          <w:sz w:val="24"/>
          <w:szCs w:val="24"/>
        </w:rPr>
      </w:pPr>
      <w:r w:rsidRPr="00DB5458">
        <w:rPr>
          <w:rFonts w:ascii="Times New Roman" w:eastAsia="Times New Roman" w:hAnsi="Times New Roman" w:cs="Times New Roman"/>
          <w:i/>
          <w:iCs/>
          <w:sz w:val="24"/>
          <w:szCs w:val="24"/>
        </w:rPr>
        <w:lastRenderedPageBreak/>
        <w:t>em se tratando de obras e serviços:</w:t>
      </w:r>
    </w:p>
    <w:p w14:paraId="049978DB" w14:textId="25E67162" w:rsidR="00DB5458" w:rsidRPr="00DB5458" w:rsidRDefault="00DB5458" w:rsidP="00DB5458">
      <w:pPr>
        <w:pStyle w:val="PargrafodaLista"/>
        <w:numPr>
          <w:ilvl w:val="0"/>
          <w:numId w:val="11"/>
        </w:numPr>
        <w:spacing w:line="360" w:lineRule="auto"/>
        <w:jc w:val="both"/>
        <w:rPr>
          <w:rFonts w:ascii="Times New Roman" w:eastAsia="Times New Roman" w:hAnsi="Times New Roman" w:cs="Times New Roman"/>
          <w:i/>
          <w:iCs/>
          <w:sz w:val="24"/>
          <w:szCs w:val="24"/>
        </w:rPr>
      </w:pPr>
      <w:r w:rsidRPr="00DB5458">
        <w:rPr>
          <w:rFonts w:ascii="Times New Roman" w:eastAsia="Times New Roman" w:hAnsi="Times New Roman" w:cs="Times New Roman"/>
          <w:i/>
          <w:iCs/>
          <w:sz w:val="24"/>
          <w:szCs w:val="24"/>
        </w:rPr>
        <w:t>provisoriamente, pelo responsável por seu acompanhamento e fiscalização, mediante termo detalhado, quando verificado o cumprimento das exigências de caráter técnico;</w:t>
      </w:r>
    </w:p>
    <w:p w14:paraId="16FC5370" w14:textId="361F62A4" w:rsidR="00DB5458" w:rsidRPr="00DB5458" w:rsidRDefault="00DB5458" w:rsidP="00DB5458">
      <w:pPr>
        <w:pStyle w:val="PargrafodaLista"/>
        <w:numPr>
          <w:ilvl w:val="0"/>
          <w:numId w:val="11"/>
        </w:numPr>
        <w:spacing w:line="360" w:lineRule="auto"/>
        <w:jc w:val="both"/>
        <w:rPr>
          <w:rFonts w:ascii="Times New Roman" w:eastAsia="Times New Roman" w:hAnsi="Times New Roman" w:cs="Times New Roman"/>
          <w:i/>
          <w:iCs/>
          <w:sz w:val="24"/>
          <w:szCs w:val="24"/>
        </w:rPr>
      </w:pPr>
      <w:r w:rsidRPr="00DB5458">
        <w:rPr>
          <w:rFonts w:ascii="Times New Roman" w:eastAsia="Times New Roman" w:hAnsi="Times New Roman" w:cs="Times New Roman"/>
          <w:i/>
          <w:iCs/>
          <w:sz w:val="24"/>
          <w:szCs w:val="24"/>
        </w:rPr>
        <w:t>definitivamente, por servidor ou comissão designada pela autoridade competente, mediante termo detalhado que comprove o atendimento das exigências contratuais;</w:t>
      </w:r>
    </w:p>
    <w:p w14:paraId="1A8C31CA" w14:textId="77777777" w:rsidR="00DB5458" w:rsidRDefault="00DB5458">
      <w:pPr>
        <w:spacing w:line="360" w:lineRule="auto"/>
        <w:ind w:firstLine="426"/>
        <w:jc w:val="both"/>
        <w:rPr>
          <w:rFonts w:ascii="Times New Roman" w:eastAsia="Times New Roman" w:hAnsi="Times New Roman" w:cs="Times New Roman"/>
          <w:sz w:val="24"/>
          <w:szCs w:val="24"/>
        </w:rPr>
      </w:pPr>
    </w:p>
    <w:p w14:paraId="1C078F2D" w14:textId="198361F7" w:rsidR="00A01EA6" w:rsidRPr="00B03134" w:rsidRDefault="00B03134" w:rsidP="00B03134">
      <w:pPr>
        <w:spacing w:line="360" w:lineRule="auto"/>
        <w:ind w:firstLine="426"/>
        <w:jc w:val="both"/>
        <w:rPr>
          <w:rFonts w:ascii="Times New Roman" w:eastAsia="Times New Roman" w:hAnsi="Times New Roman" w:cs="Times New Roman"/>
          <w:sz w:val="24"/>
          <w:szCs w:val="24"/>
        </w:rPr>
      </w:pPr>
      <w:r w:rsidRPr="00B03134">
        <w:rPr>
          <w:rFonts w:ascii="Times New Roman" w:eastAsia="Times New Roman" w:hAnsi="Times New Roman" w:cs="Times New Roman"/>
          <w:sz w:val="24"/>
          <w:szCs w:val="24"/>
        </w:rPr>
        <w:t xml:space="preserve">O recebimento provisório deverá ser </w:t>
      </w:r>
      <w:r w:rsidR="00A01EA6" w:rsidRPr="00B03134">
        <w:rPr>
          <w:rFonts w:ascii="Times New Roman" w:eastAsia="Times New Roman" w:hAnsi="Times New Roman" w:cs="Times New Roman"/>
          <w:sz w:val="24"/>
          <w:szCs w:val="24"/>
        </w:rPr>
        <w:t>em até 15 (quinze) dias contados do término da execução, pelo responsável por seu acompanhamento e fiscalização, mediante termo detalhado, quando verificado o cumprimento das exigências de caráter técnico;</w:t>
      </w:r>
    </w:p>
    <w:p w14:paraId="690C8052" w14:textId="74C7CD12" w:rsidR="00A01EA6" w:rsidRPr="00595BF4" w:rsidRDefault="00595BF4" w:rsidP="00B03134">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B03134" w:rsidRPr="00B03134">
        <w:rPr>
          <w:rFonts w:ascii="Times New Roman" w:eastAsia="Times New Roman" w:hAnsi="Times New Roman" w:cs="Times New Roman"/>
          <w:sz w:val="24"/>
          <w:szCs w:val="24"/>
        </w:rPr>
        <w:t>O recebimento d</w:t>
      </w:r>
      <w:r w:rsidR="00A01EA6" w:rsidRPr="00595BF4">
        <w:rPr>
          <w:rFonts w:ascii="Times New Roman" w:eastAsia="Times New Roman" w:hAnsi="Times New Roman" w:cs="Times New Roman"/>
          <w:sz w:val="24"/>
          <w:szCs w:val="24"/>
        </w:rPr>
        <w:t>efinitiv</w:t>
      </w:r>
      <w:r w:rsidR="00B03134">
        <w:rPr>
          <w:rFonts w:ascii="Times New Roman" w:eastAsia="Times New Roman" w:hAnsi="Times New Roman" w:cs="Times New Roman"/>
          <w:sz w:val="24"/>
          <w:szCs w:val="24"/>
        </w:rPr>
        <w:t>o</w:t>
      </w:r>
      <w:r w:rsidR="00A01EA6" w:rsidRPr="00595BF4">
        <w:rPr>
          <w:rFonts w:ascii="Times New Roman" w:eastAsia="Times New Roman" w:hAnsi="Times New Roman" w:cs="Times New Roman"/>
          <w:sz w:val="24"/>
          <w:szCs w:val="24"/>
        </w:rPr>
        <w:t xml:space="preserve"> em até 90 (noventa) dias contados do recebimento provisório, por servidor ou comissão designada pela autoridade competente, mediante termo detalhado que comprove o atendimento das exigências contratuais.</w:t>
      </w:r>
    </w:p>
    <w:p w14:paraId="7B92EF7E" w14:textId="3EF09903"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Tratando-se de obra ou serviço de engenharia, ao final de cada etapa da execução contratual, conforme previsto no Cronograma Físico-Financeiro, o Contratado apresentará a medição prévia dos serviços executados no período, por meio de planilha e memória de cálculo detalhada.</w:t>
      </w:r>
    </w:p>
    <w:p w14:paraId="4EFAA132"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Uma etapa será considerada efetivamente concluída quando os serviços previstos para aquela etapa, no Cronograma Físico-Financeiro, estiverem executados em sua totalidade.</w:t>
      </w:r>
    </w:p>
    <w:p w14:paraId="0006CEB7"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Contratado também apresentará, a cada medição, os documentos comprobatórios da procedência legal dos produtos e subprodutos florestais utilizados naquela etapa da execução contratual, quando for o caso.</w:t>
      </w:r>
    </w:p>
    <w:p w14:paraId="2034E3E7"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prazo para recebimento provisório será contado do recebimento de comunicação de cobrança oriunda do Contratado com a comprovação da prestação dos serviços a que se referem a parcela a ser paga.</w:t>
      </w:r>
    </w:p>
    <w:p w14:paraId="2817C8D9"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 fiscal do contrato realizará o recebimento provisório do objeto do contrato mediante termo detalhado que comprove o cumprimento das exigências de caráter técnico e administrativo. </w:t>
      </w:r>
    </w:p>
    <w:p w14:paraId="3380E93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Ao final de cada período/evento de faturamento:</w:t>
      </w:r>
    </w:p>
    <w:p w14:paraId="738018FA"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o fiscal do contrato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gestor do contrato;</w:t>
      </w:r>
    </w:p>
    <w:p w14:paraId="144B36E5"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o fiscal deverá verificar a efetiva realização dos dispêndios concernentes aos salários e às obrigações trabalhistas, previdenciárias e com o FGTS do mês anterior, dentre outros, emitindo relatório que será encaminhado ao gestor do contrato.</w:t>
      </w:r>
    </w:p>
    <w:p w14:paraId="24859D46"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Será considerado como ocorrido o recebimento provisório com a entrega do termo detalhado ou, em havendo mais de um a ser feito, com a entrega do último.</w:t>
      </w:r>
    </w:p>
    <w:p w14:paraId="34EF551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CA0BC02"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fiscalização não efetuará o ateste da última e/ou única medição de serviços até que sejam sanadas todas as eventuais pendências que possam vir a ser apontadas no recebimento provisório.</w:t>
      </w:r>
    </w:p>
    <w:p w14:paraId="1D597258"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serviços poderão ser rejeitados, no todo ou em parte, quando em desacordo com as especificações constantes nestes no Edital e na proposta, sem prejuízo da aplicação das penalidades.</w:t>
      </w:r>
    </w:p>
    <w:p w14:paraId="0B8456BD" w14:textId="77777777" w:rsidR="001F1278" w:rsidRDefault="00000000">
      <w:pPr>
        <w:spacing w:line="360" w:lineRule="auto"/>
        <w:ind w:firstLine="426"/>
        <w:jc w:val="both"/>
        <w:rPr>
          <w:rFonts w:ascii="Times New Roman" w:eastAsia="Times New Roman" w:hAnsi="Times New Roman" w:cs="Times New Roman"/>
          <w:sz w:val="24"/>
          <w:szCs w:val="24"/>
          <w:highlight w:val="white"/>
        </w:rPr>
      </w:pPr>
      <w:r w:rsidRPr="00482CAF">
        <w:rPr>
          <w:rFonts w:ascii="Times New Roman" w:eastAsia="Times New Roman" w:hAnsi="Times New Roman" w:cs="Times New Roman"/>
          <w:sz w:val="24"/>
          <w:szCs w:val="24"/>
          <w:highlight w:val="white"/>
        </w:rPr>
        <w:t>Os serviços serão recebidos definitivamente no prazo de 15 (quinze) dias,</w:t>
      </w:r>
      <w:r>
        <w:rPr>
          <w:rFonts w:ascii="Times New Roman" w:eastAsia="Times New Roman" w:hAnsi="Times New Roman" w:cs="Times New Roman"/>
          <w:color w:val="FF0000"/>
          <w:sz w:val="24"/>
          <w:szCs w:val="24"/>
          <w:highlight w:val="white"/>
        </w:rPr>
        <w:t xml:space="preserve"> </w:t>
      </w:r>
      <w:r>
        <w:rPr>
          <w:rFonts w:ascii="Times New Roman" w:eastAsia="Times New Roman" w:hAnsi="Times New Roman" w:cs="Times New Roman"/>
          <w:sz w:val="24"/>
          <w:szCs w:val="24"/>
          <w:highlight w:val="white"/>
        </w:rPr>
        <w:t>contados do recebimento provisório, por servidor ou comissão designada pela autoridade competente, após a verificação da qualidade e quantidade do serviço e consequente aceitação mediante termo detalhado.</w:t>
      </w:r>
    </w:p>
    <w:p w14:paraId="6F00500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caso de controvérsia sobre a execução do objeto, quanto à dimensão, qualidade e quantidade, deverá ser observado o teor do art. 143 da Lei nº 14.133, de 2021, comunicando-se à empresa para emissão de Nota Fiscal quanto à parcela incontroversa da execução do objeto, para efeito de liquidação e pagamento.</w:t>
      </w:r>
    </w:p>
    <w:p w14:paraId="7A0BCFD2"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Nenhum prazo de recebimento ocorrerá enquanto pendente a solução, pelo Contratado, de inconsistências verificadas na execução do objeto ou no instrumento de cobrança.</w:t>
      </w:r>
    </w:p>
    <w:p w14:paraId="3230A80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 recebimento provisório ou definitivo não excluirá a responsabilidade civil pela solidez e pela segurança do serviço nem a responsabilidade ético-profissional pela perfeita execução do contrato.</w:t>
      </w:r>
    </w:p>
    <w:p w14:paraId="0FAB9879" w14:textId="77777777" w:rsidR="001F1278" w:rsidRDefault="001F1278">
      <w:pPr>
        <w:spacing w:line="240" w:lineRule="auto"/>
        <w:jc w:val="both"/>
        <w:rPr>
          <w:rFonts w:ascii="Times New Roman" w:eastAsia="Times New Roman" w:hAnsi="Times New Roman" w:cs="Times New Roman"/>
          <w:sz w:val="24"/>
          <w:szCs w:val="24"/>
        </w:rPr>
      </w:pPr>
    </w:p>
    <w:p w14:paraId="450511B4"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LIQUIDAÇÃO</w:t>
      </w:r>
    </w:p>
    <w:p w14:paraId="6E85059F"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Recebida a Nota Fiscal, correrá o prazo de vinte dias úteis para fins de liquidação. Para fins de liquidação, o setor competente deve verificar se a Nota Fiscal ou Fatura apresentada expressa os elementos necessários e essenciais do documento, tais como:</w:t>
      </w:r>
    </w:p>
    <w:p w14:paraId="00359FCC" w14:textId="77777777" w:rsidR="001F1278" w:rsidRDefault="00000000">
      <w:pPr>
        <w:numPr>
          <w:ilvl w:val="0"/>
          <w:numId w:val="9"/>
        </w:numPr>
        <w:spacing w:line="36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data da emissão;</w:t>
      </w:r>
    </w:p>
    <w:p w14:paraId="2440127A" w14:textId="77777777" w:rsidR="001F1278" w:rsidRDefault="00000000">
      <w:pPr>
        <w:numPr>
          <w:ilvl w:val="0"/>
          <w:numId w:val="9"/>
        </w:numPr>
        <w:spacing w:line="36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dados do contrato e do órgão contratante;</w:t>
      </w:r>
    </w:p>
    <w:p w14:paraId="4911A318" w14:textId="77777777" w:rsidR="001F1278" w:rsidRDefault="00000000">
      <w:pPr>
        <w:numPr>
          <w:ilvl w:val="0"/>
          <w:numId w:val="9"/>
        </w:numPr>
        <w:spacing w:line="360"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período respectivo de execução do contrato;</w:t>
      </w:r>
    </w:p>
    <w:p w14:paraId="44AAB09A" w14:textId="77777777" w:rsidR="001F1278" w:rsidRDefault="00000000">
      <w:pPr>
        <w:numPr>
          <w:ilvl w:val="0"/>
          <w:numId w:val="9"/>
        </w:numPr>
        <w:spacing w:line="360"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valor a pagar; e</w:t>
      </w:r>
    </w:p>
    <w:p w14:paraId="6345D876" w14:textId="77777777" w:rsidR="001F1278" w:rsidRDefault="00000000">
      <w:pPr>
        <w:numPr>
          <w:ilvl w:val="0"/>
          <w:numId w:val="9"/>
        </w:numPr>
        <w:spacing w:line="360" w:lineRule="auto"/>
        <w:ind w:left="284" w:hanging="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eventual destaque do valor de retenções tributárias cabíveis.</w:t>
      </w:r>
    </w:p>
    <w:p w14:paraId="098E22E1"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ao Contratante.</w:t>
      </w:r>
    </w:p>
    <w:p w14:paraId="2CDCB674"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Nota Fiscal ou Fatura deverá ser obrigatoriamente acompanhada da comprovação da regularidade fiscal, mediante consulta aos sítios eletrônicos oficiais ou à documentação mencionada no art. 68 da Lei nº 14.133/2021.</w:t>
      </w:r>
    </w:p>
    <w:p w14:paraId="2A505A22"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679E8398"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Não havendo regularização ou sendo a defesa considerada improcedente, e, portanto, persistindo a irregularidade, o Contratante deverá adotar as medidas necessárias à rescisão contratual nos autos do processo administrativo correspondente, assegurada ao Contratado a ampla defesa.</w:t>
      </w:r>
    </w:p>
    <w:p w14:paraId="472B55B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Havendo a efetiva execução do objeto, os pagamentos serão realizados normalmente, até que se decida pela rescisão do contrato, caso o Contratado não regularize sua situação.</w:t>
      </w:r>
    </w:p>
    <w:p w14:paraId="6484B5E8" w14:textId="77777777" w:rsidR="001F1278" w:rsidRDefault="001F1278">
      <w:pPr>
        <w:spacing w:line="240" w:lineRule="auto"/>
        <w:jc w:val="both"/>
        <w:rPr>
          <w:rFonts w:ascii="Times New Roman" w:eastAsia="Times New Roman" w:hAnsi="Times New Roman" w:cs="Times New Roman"/>
          <w:sz w:val="24"/>
          <w:szCs w:val="24"/>
        </w:rPr>
      </w:pPr>
    </w:p>
    <w:p w14:paraId="5243705A"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PRAZO DE PAGAMENTO</w:t>
      </w:r>
    </w:p>
    <w:p w14:paraId="003A1C31"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O pagamento deverá ser realizado observando a Ordem Cronológica, no prazo máximo de 30 dias </w:t>
      </w:r>
      <w:r w:rsidRPr="001F3261">
        <w:rPr>
          <w:rFonts w:ascii="Times New Roman" w:eastAsia="Times New Roman" w:hAnsi="Times New Roman" w:cs="Times New Roman"/>
          <w:sz w:val="24"/>
          <w:szCs w:val="24"/>
        </w:rPr>
        <w:t>a contar da data de sua liquidação</w:t>
      </w:r>
      <w:r>
        <w:rPr>
          <w:rFonts w:ascii="Times New Roman" w:eastAsia="Times New Roman" w:hAnsi="Times New Roman" w:cs="Times New Roman"/>
          <w:sz w:val="24"/>
          <w:szCs w:val="24"/>
        </w:rPr>
        <w:t>, e demais orientações previstas e impostas pela Lei Federal 14.133/21, com ênfase nos artigos 141 a 146 desta mesma Lei.</w:t>
      </w:r>
    </w:p>
    <w:p w14:paraId="50584211"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Nota Fiscal ou Fatura deverá ser obrigatoriamente acompanhada da comprovação da regularidade fiscal, mediante consulta aos sítios eletrônicos oficiais ou à documentação mencionada no art. 68 da Lei nº 14.133, de 2021.</w:t>
      </w:r>
    </w:p>
    <w:p w14:paraId="64EB5DD7"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Conforme dispõe o art. 46, VI § 9º da LF 14.133/2021 o pagamento será associado à execução de etapas do cronograma físico-financeiro vinculadas ao cumprimento de metas de resultado, vedada a adoção de sistemática de remuneração orientada por preços unitários ou referenciada pela execução de quantidades de itens unitários.</w:t>
      </w:r>
    </w:p>
    <w:p w14:paraId="347BFD43"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14:paraId="13AFCC5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Será considerada data do pagamento o dia em que constar como emitida a ordem bancária para pagamento.</w:t>
      </w:r>
    </w:p>
    <w:p w14:paraId="5A3F90CE"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Quando do pagamento, será efetuada a retenção tributária prevista na legislação aplicável.</w:t>
      </w:r>
    </w:p>
    <w:p w14:paraId="53A30F31" w14:textId="77777777" w:rsidR="001F1278" w:rsidRDefault="00000000">
      <w:pPr>
        <w:spacing w:after="16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Nos casos de eventuais atrasos de pagamento, desde que a Contratada não tenha concorrido, de alguma forma, para tanto,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318ABB45" w14:textId="77777777" w:rsidR="001F1278" w:rsidRDefault="00000000">
      <w:pPr>
        <w:pBdr>
          <w:top w:val="nil"/>
          <w:left w:val="nil"/>
          <w:bottom w:val="nil"/>
          <w:right w:val="nil"/>
          <w:between w:val="nil"/>
        </w:pBdr>
        <w:tabs>
          <w:tab w:val="left" w:pos="1701"/>
        </w:tabs>
        <w:spacing w:line="360" w:lineRule="auto"/>
        <w:ind w:left="36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 = I x N x VP, sendo:</w:t>
      </w:r>
    </w:p>
    <w:p w14:paraId="323F1232" w14:textId="77777777" w:rsidR="001F1278" w:rsidRDefault="00000000">
      <w:pPr>
        <w:pBdr>
          <w:top w:val="nil"/>
          <w:left w:val="nil"/>
          <w:bottom w:val="nil"/>
          <w:right w:val="nil"/>
          <w:between w:val="nil"/>
        </w:pBdr>
        <w:tabs>
          <w:tab w:val="left" w:pos="1701"/>
        </w:tabs>
        <w:spacing w:line="360" w:lineRule="auto"/>
        <w:ind w:left="36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 = Encargos moratórios;</w:t>
      </w:r>
    </w:p>
    <w:p w14:paraId="38A9D09F" w14:textId="77777777" w:rsidR="001F1278" w:rsidRDefault="00000000">
      <w:pPr>
        <w:pBdr>
          <w:top w:val="nil"/>
          <w:left w:val="nil"/>
          <w:bottom w:val="nil"/>
          <w:right w:val="nil"/>
          <w:between w:val="nil"/>
        </w:pBdr>
        <w:tabs>
          <w:tab w:val="left" w:pos="1701"/>
        </w:tabs>
        <w:spacing w:line="360" w:lineRule="auto"/>
        <w:ind w:left="36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 = Número de dias entre a data prevista para o pagamento e a do efetivo pagamento;</w:t>
      </w:r>
    </w:p>
    <w:p w14:paraId="65B53009" w14:textId="77777777" w:rsidR="001F1278" w:rsidRDefault="00000000">
      <w:pPr>
        <w:pBdr>
          <w:top w:val="nil"/>
          <w:left w:val="nil"/>
          <w:bottom w:val="nil"/>
          <w:right w:val="nil"/>
          <w:between w:val="nil"/>
        </w:pBdr>
        <w:tabs>
          <w:tab w:val="left" w:pos="1701"/>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VP = Valor da parcela a ser paga.</w:t>
      </w:r>
    </w:p>
    <w:p w14:paraId="7300C606" w14:textId="77777777" w:rsidR="001F1278" w:rsidRDefault="00000000">
      <w:pPr>
        <w:pBdr>
          <w:top w:val="nil"/>
          <w:left w:val="nil"/>
          <w:bottom w:val="nil"/>
          <w:right w:val="nil"/>
          <w:between w:val="nil"/>
        </w:pBdr>
        <w:spacing w:after="160" w:line="360" w:lineRule="auto"/>
        <w:ind w:left="360" w:hanging="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 Índice de compensação financeira = 0,00016438, assim apurado:</w:t>
      </w:r>
    </w:p>
    <w:tbl>
      <w:tblPr>
        <w:tblStyle w:val="a1"/>
        <w:tblW w:w="8604" w:type="dxa"/>
        <w:tblInd w:w="425" w:type="dxa"/>
        <w:tblBorders>
          <w:top w:val="nil"/>
          <w:left w:val="nil"/>
          <w:bottom w:val="nil"/>
          <w:right w:val="nil"/>
          <w:insideH w:val="nil"/>
          <w:insideV w:val="nil"/>
        </w:tblBorders>
        <w:tblLayout w:type="fixed"/>
        <w:tblLook w:val="0400" w:firstRow="0" w:lastRow="0" w:firstColumn="0" w:lastColumn="0" w:noHBand="0" w:noVBand="1"/>
      </w:tblPr>
      <w:tblGrid>
        <w:gridCol w:w="2137"/>
        <w:gridCol w:w="576"/>
        <w:gridCol w:w="1244"/>
        <w:gridCol w:w="4647"/>
      </w:tblGrid>
      <w:tr w:rsidR="001F1278" w14:paraId="0807CE2A" w14:textId="77777777">
        <w:tc>
          <w:tcPr>
            <w:tcW w:w="2137" w:type="dxa"/>
            <w:vAlign w:val="center"/>
          </w:tcPr>
          <w:p w14:paraId="7FB9BE93" w14:textId="77777777" w:rsidR="001F1278" w:rsidRDefault="00000000">
            <w:pPr>
              <w:tabs>
                <w:tab w:val="left" w:pos="1701"/>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 (TX)</w:t>
            </w:r>
          </w:p>
        </w:tc>
        <w:tc>
          <w:tcPr>
            <w:tcW w:w="576" w:type="dxa"/>
            <w:vAlign w:val="center"/>
          </w:tcPr>
          <w:p w14:paraId="13D10AE9" w14:textId="77777777" w:rsidR="001F1278" w:rsidRDefault="00000000">
            <w:pPr>
              <w:tabs>
                <w:tab w:val="left" w:pos="1701"/>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 = </w:t>
            </w:r>
          </w:p>
        </w:tc>
        <w:tc>
          <w:tcPr>
            <w:tcW w:w="1244" w:type="dxa"/>
            <w:tcBorders>
              <w:bottom w:val="single" w:sz="4" w:space="0" w:color="000000"/>
            </w:tcBorders>
            <w:vAlign w:val="center"/>
          </w:tcPr>
          <w:p w14:paraId="559C49B6" w14:textId="77777777" w:rsidR="001F1278" w:rsidRDefault="00000000">
            <w:pPr>
              <w:tabs>
                <w:tab w:val="left" w:pos="1701"/>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 100)</w:t>
            </w:r>
          </w:p>
        </w:tc>
        <w:tc>
          <w:tcPr>
            <w:tcW w:w="4647" w:type="dxa"/>
            <w:vAlign w:val="center"/>
          </w:tcPr>
          <w:p w14:paraId="67C4A661" w14:textId="77777777" w:rsidR="001F1278" w:rsidRDefault="00000000">
            <w:pPr>
              <w:tabs>
                <w:tab w:val="left" w:pos="1701"/>
              </w:tabs>
              <w:spacing w:line="360" w:lineRule="auto"/>
              <w:ind w:left="7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 0,00016438</w:t>
            </w:r>
          </w:p>
          <w:p w14:paraId="7E2FBA37" w14:textId="77777777" w:rsidR="001F1278" w:rsidRDefault="00000000">
            <w:pPr>
              <w:tabs>
                <w:tab w:val="left" w:pos="1701"/>
              </w:tabs>
              <w:spacing w:line="360" w:lineRule="auto"/>
              <w:ind w:left="74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TX = Percentual da taxa anual = 6%</w:t>
            </w:r>
          </w:p>
        </w:tc>
      </w:tr>
    </w:tbl>
    <w:p w14:paraId="2E7CD03D" w14:textId="77777777" w:rsidR="001F1278" w:rsidRDefault="0000000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365</w:t>
      </w:r>
    </w:p>
    <w:p w14:paraId="054D89BB" w14:textId="77777777" w:rsidR="001F1278" w:rsidRDefault="001F1278">
      <w:pPr>
        <w:spacing w:line="240" w:lineRule="auto"/>
        <w:jc w:val="both"/>
        <w:rPr>
          <w:rFonts w:ascii="Times New Roman" w:eastAsia="Times New Roman" w:hAnsi="Times New Roman" w:cs="Times New Roman"/>
          <w:sz w:val="24"/>
          <w:szCs w:val="24"/>
        </w:rPr>
      </w:pPr>
    </w:p>
    <w:p w14:paraId="0AA98F0C"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FORMA DE PAGAMENTO</w:t>
      </w:r>
    </w:p>
    <w:p w14:paraId="25E1771C"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pagamento será realizado por meio de ordem bancária, para crédito em banco, agência e conta corrente indicados pelo Contratado.</w:t>
      </w:r>
    </w:p>
    <w:p w14:paraId="55A3260B"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Será considerada data do pagamento o dia em que constar como emitida a ordem bancária para pagamento.</w:t>
      </w:r>
    </w:p>
    <w:p w14:paraId="6EF748AA" w14:textId="77777777" w:rsidR="001F1278" w:rsidRDefault="00000000">
      <w:pPr>
        <w:pBdr>
          <w:top w:val="nil"/>
          <w:left w:val="nil"/>
          <w:bottom w:val="nil"/>
          <w:right w:val="nil"/>
          <w:between w:val="nil"/>
        </w:pBdr>
        <w:spacing w:line="360" w:lineRule="auto"/>
        <w:ind w:firstLine="426"/>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Quando do pagamento, será efetuada a retenção tributária prevista na legislação aplicável.</w:t>
      </w:r>
    </w:p>
    <w:p w14:paraId="1FAB8557" w14:textId="77777777" w:rsidR="001F1278" w:rsidRDefault="00000000">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Independentemente do percentual de tributo inserido na planilha, quando houver, serão retidos na fonte, quando da realização do pagamento, os percentuais estabelecidos na legislação vigente.</w:t>
      </w:r>
    </w:p>
    <w:p w14:paraId="12271D85" w14:textId="77777777" w:rsidR="001F1278" w:rsidRDefault="00000000">
      <w:pPr>
        <w:pBdr>
          <w:top w:val="nil"/>
          <w:left w:val="nil"/>
          <w:bottom w:val="nil"/>
          <w:right w:val="nil"/>
          <w:between w:val="nil"/>
        </w:pBdr>
        <w:spacing w:line="36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1A432AA" w14:textId="77777777" w:rsidR="001F1278" w:rsidRDefault="001F1278">
      <w:pPr>
        <w:pBdr>
          <w:top w:val="nil"/>
          <w:left w:val="nil"/>
          <w:bottom w:val="nil"/>
          <w:right w:val="nil"/>
          <w:between w:val="nil"/>
        </w:pBdr>
        <w:spacing w:line="240" w:lineRule="auto"/>
        <w:ind w:firstLine="567"/>
        <w:jc w:val="both"/>
        <w:rPr>
          <w:rFonts w:ascii="Times New Roman" w:eastAsia="Times New Roman" w:hAnsi="Times New Roman" w:cs="Times New Roman"/>
          <w:color w:val="000000"/>
          <w:sz w:val="24"/>
          <w:szCs w:val="24"/>
        </w:rPr>
      </w:pPr>
    </w:p>
    <w:p w14:paraId="72A873C7" w14:textId="77777777" w:rsidR="001F1278" w:rsidRDefault="001F1278">
      <w:pPr>
        <w:pBdr>
          <w:top w:val="nil"/>
          <w:left w:val="nil"/>
          <w:bottom w:val="nil"/>
          <w:right w:val="nil"/>
          <w:between w:val="nil"/>
        </w:pBdr>
        <w:spacing w:line="240" w:lineRule="auto"/>
        <w:ind w:left="567"/>
        <w:jc w:val="both"/>
        <w:rPr>
          <w:rFonts w:ascii="Times New Roman" w:eastAsia="Times New Roman" w:hAnsi="Times New Roman" w:cs="Times New Roman"/>
          <w:b/>
          <w:bCs/>
          <w:color w:val="000000"/>
          <w:sz w:val="24"/>
          <w:szCs w:val="24"/>
        </w:rPr>
      </w:pPr>
    </w:p>
    <w:p w14:paraId="436E9A5B"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REAJUSTE</w:t>
      </w:r>
    </w:p>
    <w:p w14:paraId="05247D70"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preços apresentados pela licitante vencedora serão irreajustáveis pelo período de 12 (doze) meses, contados da data-base do orçamento estimado. Após esse período (ou seja, a partir do mês subsequente ao aniversário da data-base do orçamento), os mesmos poderão ser reajustados para cobrir alterações no custo dos insumos na mesma proporção da variação prevista no Índice EMOP.</w:t>
      </w:r>
    </w:p>
    <w:p w14:paraId="63ECE623" w14:textId="5278F99E"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data base do orçamento estimado: </w:t>
      </w:r>
      <w:r w:rsidR="007F09AB" w:rsidRPr="007F09AB">
        <w:rPr>
          <w:rFonts w:ascii="Times New Roman" w:eastAsia="Times New Roman" w:hAnsi="Times New Roman" w:cs="Times New Roman"/>
          <w:b/>
          <w:bCs/>
          <w:sz w:val="24"/>
          <w:szCs w:val="24"/>
        </w:rPr>
        <w:t>12</w:t>
      </w:r>
      <w:r w:rsidRPr="007F09AB">
        <w:rPr>
          <w:rFonts w:ascii="Times New Roman" w:eastAsia="Times New Roman" w:hAnsi="Times New Roman" w:cs="Times New Roman"/>
          <w:b/>
          <w:bCs/>
          <w:sz w:val="24"/>
          <w:szCs w:val="24"/>
        </w:rPr>
        <w:t>/2025.</w:t>
      </w:r>
    </w:p>
    <w:p w14:paraId="1245AC40"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Nos reajustes subsequentes ao primeiro, o interregno mínimo de um ano será contado a partir dos efeitos financeiros do último reajuste.</w:t>
      </w:r>
    </w:p>
    <w:p w14:paraId="15EDDD6F"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6154980E"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Nas aferições finais, o(s) índice(s) utilizado(s) para reajuste será(ão), obrigatoriamente, o(s) definitivo(s).</w:t>
      </w:r>
    </w:p>
    <w:p w14:paraId="055A3BCA"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Caso o(s) índice(s) estabelecido(s) para reajustamento venha(m) a ser extinto(s) ou de qualquer forma não possa(m) mais ser utilizado(s), será(ão) adotado(s), em substituição, o(s) que vier(em) a ser determinado(s) pela legislação então em vigor.</w:t>
      </w:r>
    </w:p>
    <w:p w14:paraId="71B45AA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 ausência de previsão legal quanto ao índice substituto, as partes elegerão novo índice oficial, para reajustamento do preço do valor remanescente, por meio de termo aditivo. </w:t>
      </w:r>
    </w:p>
    <w:p w14:paraId="2F074B5B"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reajuste será realizado por apostilamento.</w:t>
      </w:r>
    </w:p>
    <w:p w14:paraId="0723B456" w14:textId="77777777" w:rsidR="001F3261" w:rsidRDefault="001F3261">
      <w:pPr>
        <w:spacing w:line="360" w:lineRule="auto"/>
        <w:ind w:firstLine="426"/>
        <w:jc w:val="both"/>
        <w:rPr>
          <w:rFonts w:ascii="Times New Roman" w:eastAsia="Times New Roman" w:hAnsi="Times New Roman" w:cs="Times New Roman"/>
          <w:sz w:val="24"/>
          <w:szCs w:val="24"/>
        </w:rPr>
      </w:pPr>
    </w:p>
    <w:p w14:paraId="45E2B800" w14:textId="77777777" w:rsidR="001F1278" w:rsidRDefault="001F1278">
      <w:pPr>
        <w:pBdr>
          <w:top w:val="nil"/>
          <w:left w:val="nil"/>
          <w:bottom w:val="nil"/>
          <w:right w:val="nil"/>
          <w:between w:val="nil"/>
        </w:pBdr>
        <w:spacing w:line="240" w:lineRule="auto"/>
        <w:jc w:val="both"/>
        <w:rPr>
          <w:rFonts w:ascii="Times New Roman" w:eastAsia="Times New Roman" w:hAnsi="Times New Roman" w:cs="Times New Roman"/>
          <w:color w:val="FF0000"/>
          <w:sz w:val="24"/>
          <w:szCs w:val="24"/>
        </w:rPr>
      </w:pPr>
    </w:p>
    <w:p w14:paraId="25B9BEF4"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RECOMPOSIÇÃO DO EQUILÍBRIO ECONÔMICO-FINANCEIRO</w:t>
      </w:r>
    </w:p>
    <w:p w14:paraId="4B0BF957" w14:textId="77777777" w:rsidR="001A7419" w:rsidRDefault="001A7419" w:rsidP="001A7419">
      <w:pPr>
        <w:pBdr>
          <w:top w:val="nil"/>
          <w:left w:val="nil"/>
          <w:bottom w:val="nil"/>
          <w:right w:val="nil"/>
          <w:between w:val="nil"/>
        </w:pBdr>
        <w:spacing w:line="360" w:lineRule="auto"/>
        <w:ind w:left="360"/>
        <w:jc w:val="both"/>
        <w:rPr>
          <w:rFonts w:ascii="Times New Roman" w:eastAsia="Times New Roman" w:hAnsi="Times New Roman" w:cs="Times New Roman"/>
          <w:b/>
          <w:bCs/>
          <w:color w:val="000000"/>
          <w:sz w:val="24"/>
          <w:szCs w:val="24"/>
        </w:rPr>
      </w:pPr>
    </w:p>
    <w:p w14:paraId="61DF6025" w14:textId="77777777" w:rsidR="001F1278" w:rsidRDefault="00000000">
      <w:pPr>
        <w:spacing w:line="360" w:lineRule="auto"/>
        <w:ind w:firstLine="426"/>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Sempre que atendidas as condições do contrato e mantidas as disposições do contrato e as disposições da Matriz de Riscos, se for o caso, considera-se mantido seu equilíbrio econômico-financeiro. A contratada somente poderá solicitar a recomposição do equilíbrio econômico-financeiro nas hipóteses excluídas de sua responsabilidade na Matriz de Riscos.</w:t>
      </w:r>
    </w:p>
    <w:p w14:paraId="51784C8C"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Os casos omissos serão objeto de análise acurada e criteriosa, lastreada em elementos técnicos, por intermédio de processo administrativo para apurar o caso concreto.</w:t>
      </w:r>
    </w:p>
    <w:p w14:paraId="0F1D8049" w14:textId="77777777" w:rsidR="001F1278" w:rsidRDefault="001F1278">
      <w:pPr>
        <w:spacing w:line="240" w:lineRule="auto"/>
        <w:ind w:firstLine="426"/>
        <w:jc w:val="both"/>
        <w:rPr>
          <w:rFonts w:ascii="Times New Roman" w:eastAsia="Times New Roman" w:hAnsi="Times New Roman" w:cs="Times New Roman"/>
          <w:sz w:val="24"/>
          <w:szCs w:val="24"/>
        </w:rPr>
      </w:pPr>
    </w:p>
    <w:p w14:paraId="79CF39CC" w14:textId="77777777" w:rsidR="001F1278" w:rsidRDefault="00000000">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INFRAÇÕES E SANÇÕES ADMINISTRATIVAS </w:t>
      </w:r>
    </w:p>
    <w:p w14:paraId="5408AF61" w14:textId="77777777" w:rsidR="001A7419" w:rsidRDefault="001A7419" w:rsidP="001A7419">
      <w:pPr>
        <w:pBdr>
          <w:top w:val="nil"/>
          <w:left w:val="nil"/>
          <w:bottom w:val="nil"/>
          <w:right w:val="nil"/>
          <w:between w:val="nil"/>
        </w:pBdr>
        <w:spacing w:line="360" w:lineRule="auto"/>
        <w:ind w:left="360"/>
        <w:jc w:val="both"/>
        <w:rPr>
          <w:rFonts w:ascii="Times New Roman" w:eastAsia="Times New Roman" w:hAnsi="Times New Roman" w:cs="Times New Roman"/>
          <w:b/>
          <w:bCs/>
          <w:color w:val="000000"/>
          <w:sz w:val="24"/>
          <w:szCs w:val="24"/>
        </w:rPr>
      </w:pPr>
    </w:p>
    <w:p w14:paraId="1DE939AD" w14:textId="77777777" w:rsidR="001F1278" w:rsidRDefault="00000000">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Pelo descumprimento, irregularidade ou inexecução total ou parcial do objeto, a Administração pode aplicar à Contratada as sanções previstas no art. 156 da Lei Federal n° 14.133/2021, observadas a gravidade da conduta, o contraditório e ampla defesa infração administrativa, sujeita a penalidades, nos termos da Lei nº 14.133/2021.</w:t>
      </w:r>
    </w:p>
    <w:p w14:paraId="17567159" w14:textId="77777777" w:rsidR="001F1278" w:rsidRPr="001F3261" w:rsidRDefault="00000000">
      <w:pPr>
        <w:spacing w:before="220" w:after="220" w:line="360" w:lineRule="auto"/>
        <w:ind w:firstLine="580"/>
        <w:jc w:val="both"/>
        <w:rPr>
          <w:sz w:val="20"/>
          <w:szCs w:val="20"/>
        </w:rPr>
      </w:pPr>
      <w:r w:rsidRPr="001F3261">
        <w:rPr>
          <w:sz w:val="20"/>
          <w:szCs w:val="20"/>
        </w:rPr>
        <w:t>I - advertência;</w:t>
      </w:r>
    </w:p>
    <w:p w14:paraId="6A473274" w14:textId="77777777" w:rsidR="001F1278" w:rsidRPr="001F3261" w:rsidRDefault="00000000">
      <w:pPr>
        <w:spacing w:before="220" w:after="220" w:line="360" w:lineRule="auto"/>
        <w:ind w:firstLine="580"/>
        <w:jc w:val="both"/>
        <w:rPr>
          <w:sz w:val="20"/>
          <w:szCs w:val="20"/>
        </w:rPr>
      </w:pPr>
      <w:r w:rsidRPr="001F3261">
        <w:rPr>
          <w:sz w:val="20"/>
          <w:szCs w:val="20"/>
        </w:rPr>
        <w:t>II - multa;</w:t>
      </w:r>
    </w:p>
    <w:p w14:paraId="48678526" w14:textId="77777777" w:rsidR="001F1278" w:rsidRPr="001F3261" w:rsidRDefault="00000000">
      <w:pPr>
        <w:spacing w:before="220" w:after="220" w:line="360" w:lineRule="auto"/>
        <w:ind w:firstLine="580"/>
        <w:jc w:val="both"/>
        <w:rPr>
          <w:sz w:val="20"/>
          <w:szCs w:val="20"/>
        </w:rPr>
      </w:pPr>
      <w:r w:rsidRPr="001F3261">
        <w:rPr>
          <w:sz w:val="20"/>
          <w:szCs w:val="20"/>
        </w:rPr>
        <w:t>III - impedimento de licitar e contratar;</w:t>
      </w:r>
    </w:p>
    <w:p w14:paraId="466BEA0E" w14:textId="77777777" w:rsidR="001F1278" w:rsidRPr="001F3261" w:rsidRDefault="00000000">
      <w:pPr>
        <w:spacing w:before="220" w:after="220" w:line="360" w:lineRule="auto"/>
        <w:ind w:firstLine="580"/>
        <w:jc w:val="both"/>
        <w:rPr>
          <w:sz w:val="20"/>
          <w:szCs w:val="20"/>
        </w:rPr>
      </w:pPr>
      <w:r w:rsidRPr="001F3261">
        <w:rPr>
          <w:sz w:val="20"/>
          <w:szCs w:val="20"/>
        </w:rPr>
        <w:t>IV - declaração de inidoneidade para licitar ou contratar.</w:t>
      </w:r>
    </w:p>
    <w:p w14:paraId="34FF0077" w14:textId="77777777" w:rsidR="001F1278" w:rsidRPr="001F3261" w:rsidRDefault="00000000">
      <w:pPr>
        <w:spacing w:before="220" w:after="220" w:line="360" w:lineRule="auto"/>
        <w:ind w:firstLine="580"/>
        <w:jc w:val="both"/>
        <w:rPr>
          <w:sz w:val="20"/>
          <w:szCs w:val="20"/>
        </w:rPr>
      </w:pPr>
      <w:r w:rsidRPr="001F3261">
        <w:rPr>
          <w:sz w:val="20"/>
          <w:szCs w:val="20"/>
        </w:rPr>
        <w:t>§ 1º Na aplicação das sanções serão considerados:</w:t>
      </w:r>
    </w:p>
    <w:p w14:paraId="35C1A5DB" w14:textId="77777777" w:rsidR="001F1278" w:rsidRPr="001F3261" w:rsidRDefault="00000000">
      <w:pPr>
        <w:spacing w:before="220" w:after="220" w:line="360" w:lineRule="auto"/>
        <w:ind w:firstLine="580"/>
        <w:jc w:val="both"/>
        <w:rPr>
          <w:sz w:val="20"/>
          <w:szCs w:val="20"/>
        </w:rPr>
      </w:pPr>
      <w:r w:rsidRPr="001F3261">
        <w:rPr>
          <w:sz w:val="20"/>
          <w:szCs w:val="20"/>
        </w:rPr>
        <w:lastRenderedPageBreak/>
        <w:t>I - a natureza e a gravidade da infração cometida;</w:t>
      </w:r>
    </w:p>
    <w:p w14:paraId="6104871E" w14:textId="77777777" w:rsidR="001F1278" w:rsidRPr="001F3261" w:rsidRDefault="00000000">
      <w:pPr>
        <w:spacing w:before="220" w:after="220" w:line="360" w:lineRule="auto"/>
        <w:ind w:firstLine="580"/>
        <w:jc w:val="both"/>
        <w:rPr>
          <w:sz w:val="20"/>
          <w:szCs w:val="20"/>
        </w:rPr>
      </w:pPr>
      <w:r w:rsidRPr="001F3261">
        <w:rPr>
          <w:sz w:val="20"/>
          <w:szCs w:val="20"/>
        </w:rPr>
        <w:t>II - as peculiaridades do caso concreto;</w:t>
      </w:r>
    </w:p>
    <w:p w14:paraId="05C06B75" w14:textId="77777777" w:rsidR="001F1278" w:rsidRPr="001F3261" w:rsidRDefault="00000000">
      <w:pPr>
        <w:spacing w:before="220" w:after="220" w:line="360" w:lineRule="auto"/>
        <w:ind w:firstLine="580"/>
        <w:jc w:val="both"/>
        <w:rPr>
          <w:sz w:val="20"/>
          <w:szCs w:val="20"/>
        </w:rPr>
      </w:pPr>
      <w:r w:rsidRPr="001F3261">
        <w:rPr>
          <w:sz w:val="20"/>
          <w:szCs w:val="20"/>
        </w:rPr>
        <w:t>III - as circunstâncias agravantes ou atenuantes;</w:t>
      </w:r>
    </w:p>
    <w:p w14:paraId="41E72E03" w14:textId="77777777" w:rsidR="001F1278" w:rsidRPr="001F3261" w:rsidRDefault="00000000">
      <w:pPr>
        <w:spacing w:before="220" w:after="220" w:line="360" w:lineRule="auto"/>
        <w:ind w:firstLine="580"/>
        <w:jc w:val="both"/>
        <w:rPr>
          <w:sz w:val="20"/>
          <w:szCs w:val="20"/>
        </w:rPr>
      </w:pPr>
      <w:r w:rsidRPr="001F3261">
        <w:rPr>
          <w:sz w:val="20"/>
          <w:szCs w:val="20"/>
        </w:rPr>
        <w:t>IV - os danos que dela provierem para a Administração Pública;</w:t>
      </w:r>
    </w:p>
    <w:p w14:paraId="5CDD0001" w14:textId="77777777" w:rsidR="001F1278" w:rsidRPr="001F3261" w:rsidRDefault="00000000">
      <w:pPr>
        <w:spacing w:before="220" w:after="220" w:line="360" w:lineRule="auto"/>
        <w:ind w:firstLine="580"/>
        <w:jc w:val="both"/>
        <w:rPr>
          <w:sz w:val="20"/>
          <w:szCs w:val="20"/>
        </w:rPr>
      </w:pPr>
      <w:r w:rsidRPr="001F3261">
        <w:rPr>
          <w:sz w:val="20"/>
          <w:szCs w:val="20"/>
        </w:rPr>
        <w:t>V - a implantação ou o aperfeiçoamento de programa de integridade, conforme normas e orientações dos órgãos de controle.</w:t>
      </w:r>
    </w:p>
    <w:p w14:paraId="25561B2E" w14:textId="77777777" w:rsidR="001F1278" w:rsidRPr="001F3261" w:rsidRDefault="00000000">
      <w:pPr>
        <w:spacing w:before="220" w:after="220" w:line="360" w:lineRule="auto"/>
        <w:ind w:firstLine="580"/>
        <w:jc w:val="both"/>
        <w:rPr>
          <w:sz w:val="20"/>
          <w:szCs w:val="20"/>
        </w:rPr>
      </w:pPr>
      <w:r w:rsidRPr="001F3261">
        <w:rPr>
          <w:sz w:val="20"/>
          <w:szCs w:val="20"/>
        </w:rPr>
        <w:t xml:space="preserve">§ 2º A sanção prevista no inciso I do </w:t>
      </w:r>
      <w:r w:rsidRPr="001F3261">
        <w:rPr>
          <w:b/>
          <w:bCs/>
          <w:sz w:val="20"/>
          <w:szCs w:val="20"/>
        </w:rPr>
        <w:t>caput</w:t>
      </w:r>
      <w:r w:rsidRPr="001F3261">
        <w:rPr>
          <w:sz w:val="20"/>
          <w:szCs w:val="20"/>
        </w:rPr>
        <w:t xml:space="preserve"> deste artigo será aplicada exclusivamente pela infração administrativa prevista no </w:t>
      </w:r>
      <w:hyperlink r:id="rId11" w:anchor="art155i">
        <w:r w:rsidR="001F1278" w:rsidRPr="001F3261">
          <w:rPr>
            <w:sz w:val="20"/>
            <w:szCs w:val="20"/>
            <w:u w:val="single"/>
          </w:rPr>
          <w:t xml:space="preserve">inciso I do </w:t>
        </w:r>
      </w:hyperlink>
      <w:hyperlink r:id="rId12" w:anchor="art155i">
        <w:r w:rsidR="001F1278" w:rsidRPr="001F3261">
          <w:rPr>
            <w:b/>
            <w:bCs/>
            <w:sz w:val="20"/>
            <w:szCs w:val="20"/>
            <w:u w:val="single"/>
          </w:rPr>
          <w:t>caput</w:t>
        </w:r>
      </w:hyperlink>
      <w:hyperlink r:id="rId13" w:anchor="art155i">
        <w:r w:rsidR="001F1278" w:rsidRPr="001F3261">
          <w:rPr>
            <w:sz w:val="20"/>
            <w:szCs w:val="20"/>
            <w:u w:val="single"/>
          </w:rPr>
          <w:t xml:space="preserve"> do art. 155 desta Lei</w:t>
        </w:r>
      </w:hyperlink>
      <w:r w:rsidRPr="001F3261">
        <w:rPr>
          <w:sz w:val="20"/>
          <w:szCs w:val="20"/>
        </w:rPr>
        <w:t>, quando não se justificar a imposição de penalidade mais grave.</w:t>
      </w:r>
    </w:p>
    <w:p w14:paraId="735D6E01" w14:textId="77777777" w:rsidR="001F1278" w:rsidRPr="001F3261" w:rsidRDefault="00000000">
      <w:pPr>
        <w:spacing w:before="220" w:after="220" w:line="360" w:lineRule="auto"/>
        <w:ind w:firstLine="580"/>
        <w:jc w:val="both"/>
        <w:rPr>
          <w:sz w:val="20"/>
          <w:szCs w:val="20"/>
        </w:rPr>
      </w:pPr>
      <w:r w:rsidRPr="001F3261">
        <w:rPr>
          <w:sz w:val="20"/>
          <w:szCs w:val="20"/>
        </w:rPr>
        <w:t xml:space="preserve">§ 3º A sanção prevista no inciso II do </w:t>
      </w:r>
      <w:r w:rsidRPr="001F3261">
        <w:rPr>
          <w:b/>
          <w:bCs/>
          <w:sz w:val="20"/>
          <w:szCs w:val="20"/>
        </w:rPr>
        <w:t>caput</w:t>
      </w:r>
      <w:r w:rsidRPr="001F3261">
        <w:rPr>
          <w:sz w:val="20"/>
          <w:szCs w:val="20"/>
        </w:rPr>
        <w:t xml:space="preserve"> deste artigo,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w:t>
      </w:r>
      <w:hyperlink r:id="rId14" w:anchor="art155">
        <w:r w:rsidR="001F1278" w:rsidRPr="001F3261">
          <w:rPr>
            <w:sz w:val="20"/>
            <w:szCs w:val="20"/>
            <w:u w:val="single"/>
          </w:rPr>
          <w:t>art. 155 desta Lei</w:t>
        </w:r>
      </w:hyperlink>
      <w:r w:rsidRPr="001F3261">
        <w:rPr>
          <w:sz w:val="20"/>
          <w:szCs w:val="20"/>
        </w:rPr>
        <w:t>.</w:t>
      </w:r>
    </w:p>
    <w:p w14:paraId="62520257" w14:textId="77777777" w:rsidR="001F1278" w:rsidRPr="001F3261" w:rsidRDefault="00000000">
      <w:pPr>
        <w:spacing w:before="220" w:after="220" w:line="360" w:lineRule="auto"/>
        <w:ind w:firstLine="580"/>
        <w:jc w:val="both"/>
        <w:rPr>
          <w:sz w:val="20"/>
          <w:szCs w:val="20"/>
        </w:rPr>
      </w:pPr>
      <w:r w:rsidRPr="001F3261">
        <w:rPr>
          <w:sz w:val="20"/>
          <w:szCs w:val="20"/>
        </w:rPr>
        <w:t xml:space="preserve">§ 4º A sanção prevista no inciso III do </w:t>
      </w:r>
      <w:r w:rsidRPr="001F3261">
        <w:rPr>
          <w:b/>
          <w:bCs/>
          <w:sz w:val="20"/>
          <w:szCs w:val="20"/>
        </w:rPr>
        <w:t>caput</w:t>
      </w:r>
      <w:r w:rsidRPr="001F3261">
        <w:rPr>
          <w:sz w:val="20"/>
          <w:szCs w:val="20"/>
        </w:rPr>
        <w:t xml:space="preserve"> deste artigo será aplicada ao responsável pelas infrações administrativas previstas nos </w:t>
      </w:r>
      <w:hyperlink r:id="rId15" w:anchor="art155ii">
        <w:r w:rsidR="001F1278" w:rsidRPr="001F3261">
          <w:rPr>
            <w:sz w:val="20"/>
            <w:szCs w:val="20"/>
            <w:u w:val="single"/>
          </w:rPr>
          <w:t xml:space="preserve">incisos II, III, IV, V, VI e VII do </w:t>
        </w:r>
      </w:hyperlink>
      <w:hyperlink r:id="rId16" w:anchor="art155ii">
        <w:r w:rsidR="001F1278" w:rsidRPr="001F3261">
          <w:rPr>
            <w:b/>
            <w:bCs/>
            <w:sz w:val="20"/>
            <w:szCs w:val="20"/>
            <w:u w:val="single"/>
          </w:rPr>
          <w:t>caput</w:t>
        </w:r>
      </w:hyperlink>
      <w:hyperlink r:id="rId17" w:anchor="art155ii">
        <w:r w:rsidR="001F1278" w:rsidRPr="001F3261">
          <w:rPr>
            <w:sz w:val="20"/>
            <w:szCs w:val="20"/>
            <w:u w:val="single"/>
          </w:rPr>
          <w:t xml:space="preserve"> do art. 155 desta Lei,</w:t>
        </w:r>
      </w:hyperlink>
      <w:r w:rsidRPr="001F3261">
        <w:rPr>
          <w:sz w:val="20"/>
          <w:szCs w:val="20"/>
        </w:rPr>
        <w:t xml:space="preserve"> quando não se justificar a imposição de penalidade mais grave, e impedirá o responsável de licitar ou contratar no âmbito da Administração Pública direta e indireta do ente federativo que tiver aplicado a sanção, pelo prazo máximo de 3 (três) anos.</w:t>
      </w:r>
    </w:p>
    <w:p w14:paraId="7F30A5AF" w14:textId="77777777" w:rsidR="001F1278" w:rsidRPr="001F3261" w:rsidRDefault="00000000">
      <w:pPr>
        <w:spacing w:before="220" w:after="220" w:line="360" w:lineRule="auto"/>
        <w:ind w:firstLine="580"/>
        <w:jc w:val="both"/>
        <w:rPr>
          <w:sz w:val="20"/>
          <w:szCs w:val="20"/>
        </w:rPr>
      </w:pPr>
      <w:r w:rsidRPr="001F3261">
        <w:rPr>
          <w:sz w:val="20"/>
          <w:szCs w:val="20"/>
        </w:rPr>
        <w:t xml:space="preserve">§ 5º A sanção prevista no inciso IV do </w:t>
      </w:r>
      <w:r w:rsidRPr="001F3261">
        <w:rPr>
          <w:b/>
          <w:bCs/>
          <w:sz w:val="20"/>
          <w:szCs w:val="20"/>
        </w:rPr>
        <w:t>caput</w:t>
      </w:r>
      <w:r w:rsidRPr="001F3261">
        <w:rPr>
          <w:sz w:val="20"/>
          <w:szCs w:val="20"/>
        </w:rPr>
        <w:t xml:space="preserve"> deste artigo será aplicada ao responsável pelas infrações administrativas previstas nos </w:t>
      </w:r>
      <w:hyperlink r:id="rId18" w:anchor="art155viii">
        <w:r w:rsidR="001F1278" w:rsidRPr="001F3261">
          <w:rPr>
            <w:sz w:val="20"/>
            <w:szCs w:val="20"/>
            <w:u w:val="single"/>
          </w:rPr>
          <w:t xml:space="preserve">incisos VIII, IX, X, XI e XII do </w:t>
        </w:r>
      </w:hyperlink>
      <w:hyperlink r:id="rId19" w:anchor="art155viii">
        <w:r w:rsidR="001F1278" w:rsidRPr="001F3261">
          <w:rPr>
            <w:b/>
            <w:bCs/>
            <w:sz w:val="20"/>
            <w:szCs w:val="20"/>
            <w:u w:val="single"/>
          </w:rPr>
          <w:t>caput</w:t>
        </w:r>
      </w:hyperlink>
      <w:hyperlink r:id="rId20" w:anchor="art155viii">
        <w:r w:rsidR="001F1278" w:rsidRPr="001F3261">
          <w:rPr>
            <w:sz w:val="20"/>
            <w:szCs w:val="20"/>
            <w:u w:val="single"/>
          </w:rPr>
          <w:t xml:space="preserve"> do art. 155 desta Lei</w:t>
        </w:r>
      </w:hyperlink>
      <w:r w:rsidRPr="001F3261">
        <w:rPr>
          <w:sz w:val="20"/>
          <w:szCs w:val="20"/>
        </w:rPr>
        <w:t xml:space="preserve">, bem como pelas infrações administrativas previstas nos incisos II, III, IV, V, VI e VII do </w:t>
      </w:r>
      <w:r w:rsidRPr="001F3261">
        <w:rPr>
          <w:b/>
          <w:bCs/>
          <w:sz w:val="20"/>
          <w:szCs w:val="20"/>
        </w:rPr>
        <w:t>caput</w:t>
      </w:r>
      <w:r w:rsidRPr="001F3261">
        <w:rPr>
          <w:sz w:val="20"/>
          <w:szCs w:val="20"/>
        </w:rPr>
        <w:t xml:space="preserve">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w:t>
      </w:r>
    </w:p>
    <w:p w14:paraId="085121DD" w14:textId="77777777" w:rsidR="001F1278" w:rsidRPr="001F3261" w:rsidRDefault="00000000">
      <w:pPr>
        <w:spacing w:before="220" w:after="220" w:line="360" w:lineRule="auto"/>
        <w:ind w:firstLine="580"/>
        <w:jc w:val="both"/>
        <w:rPr>
          <w:sz w:val="20"/>
          <w:szCs w:val="20"/>
        </w:rPr>
      </w:pPr>
      <w:r w:rsidRPr="001F3261">
        <w:rPr>
          <w:sz w:val="20"/>
          <w:szCs w:val="20"/>
        </w:rPr>
        <w:t xml:space="preserve">§ 6º A sanção estabelecida no inciso IV do </w:t>
      </w:r>
      <w:r w:rsidRPr="001F3261">
        <w:rPr>
          <w:b/>
          <w:bCs/>
          <w:sz w:val="20"/>
          <w:szCs w:val="20"/>
        </w:rPr>
        <w:t>caput</w:t>
      </w:r>
      <w:r w:rsidRPr="001F3261">
        <w:rPr>
          <w:sz w:val="20"/>
          <w:szCs w:val="20"/>
        </w:rPr>
        <w:t xml:space="preserve"> deste artigo será precedida de análise jurídica e observará as seguintes regras:</w:t>
      </w:r>
    </w:p>
    <w:p w14:paraId="2B8CD55B" w14:textId="77777777" w:rsidR="001F1278" w:rsidRPr="001F3261" w:rsidRDefault="00000000">
      <w:pPr>
        <w:spacing w:before="220" w:after="220" w:line="360" w:lineRule="auto"/>
        <w:ind w:firstLine="580"/>
        <w:jc w:val="both"/>
        <w:rPr>
          <w:sz w:val="20"/>
          <w:szCs w:val="20"/>
        </w:rPr>
      </w:pPr>
      <w:r w:rsidRPr="001F3261">
        <w:rPr>
          <w:sz w:val="20"/>
          <w:szCs w:val="20"/>
        </w:rPr>
        <w:t>I - quando aplicada por órgão do Poder Executivo, será de competência exclusiva de ministro de Estado, de secretário estadual ou de secretário municipal e, quando aplicada por autarquia ou fundação, será de competência exclusiva da autoridade máxima da entidade;</w:t>
      </w:r>
    </w:p>
    <w:p w14:paraId="54E1D521" w14:textId="77777777" w:rsidR="001F1278" w:rsidRPr="001F3261" w:rsidRDefault="00000000">
      <w:pPr>
        <w:spacing w:before="220" w:after="220" w:line="360" w:lineRule="auto"/>
        <w:ind w:firstLine="580"/>
        <w:jc w:val="both"/>
        <w:rPr>
          <w:sz w:val="20"/>
          <w:szCs w:val="20"/>
        </w:rPr>
      </w:pPr>
      <w:r w:rsidRPr="001F3261">
        <w:rPr>
          <w:sz w:val="20"/>
          <w:szCs w:val="20"/>
        </w:rPr>
        <w:t xml:space="preserve">II - quando aplicada por órgãos dos Poderes Legislativo e Judiciário, pelo Ministério Público e pela Defensoria Pública no desempenho da função administrativa, será de competência exclusiva de </w:t>
      </w:r>
      <w:r w:rsidRPr="001F3261">
        <w:rPr>
          <w:sz w:val="20"/>
          <w:szCs w:val="20"/>
        </w:rPr>
        <w:lastRenderedPageBreak/>
        <w:t>autoridade de nível hierárquico equivalente às autoridades referidas no inciso I deste parágrafo, na forma de regulamento.</w:t>
      </w:r>
    </w:p>
    <w:p w14:paraId="76BA415B" w14:textId="77777777" w:rsidR="001F1278" w:rsidRPr="001F3261" w:rsidRDefault="00000000">
      <w:pPr>
        <w:spacing w:before="220" w:after="220" w:line="360" w:lineRule="auto"/>
        <w:ind w:firstLine="580"/>
        <w:jc w:val="both"/>
        <w:rPr>
          <w:sz w:val="20"/>
          <w:szCs w:val="20"/>
        </w:rPr>
      </w:pPr>
      <w:r w:rsidRPr="001F3261">
        <w:rPr>
          <w:sz w:val="20"/>
          <w:szCs w:val="20"/>
        </w:rPr>
        <w:t xml:space="preserve">§ 7º As sanções previstas nos incisos I, III e IV do </w:t>
      </w:r>
      <w:r w:rsidRPr="001F3261">
        <w:rPr>
          <w:b/>
          <w:bCs/>
          <w:sz w:val="20"/>
          <w:szCs w:val="20"/>
        </w:rPr>
        <w:t>caput</w:t>
      </w:r>
      <w:r w:rsidRPr="001F3261">
        <w:rPr>
          <w:sz w:val="20"/>
          <w:szCs w:val="20"/>
        </w:rPr>
        <w:t xml:space="preserve"> deste artigo poderão ser aplicadas cumulativamente com a prevista no inciso II do </w:t>
      </w:r>
      <w:r w:rsidRPr="001F3261">
        <w:rPr>
          <w:b/>
          <w:bCs/>
          <w:sz w:val="20"/>
          <w:szCs w:val="20"/>
        </w:rPr>
        <w:t>caput</w:t>
      </w:r>
      <w:r w:rsidRPr="001F3261">
        <w:rPr>
          <w:sz w:val="20"/>
          <w:szCs w:val="20"/>
        </w:rPr>
        <w:t xml:space="preserve"> deste artigo.</w:t>
      </w:r>
    </w:p>
    <w:p w14:paraId="626A2F40" w14:textId="77777777" w:rsidR="001F1278" w:rsidRPr="001F3261" w:rsidRDefault="00000000">
      <w:pPr>
        <w:spacing w:before="220" w:after="220" w:line="360" w:lineRule="auto"/>
        <w:ind w:firstLine="580"/>
        <w:jc w:val="both"/>
        <w:rPr>
          <w:sz w:val="20"/>
          <w:szCs w:val="20"/>
        </w:rPr>
      </w:pPr>
      <w:r w:rsidRPr="001F3261">
        <w:rPr>
          <w:sz w:val="20"/>
          <w:szCs w:val="20"/>
        </w:rPr>
        <w:t>§ 8º Se a multa aplicada e as indenizações cabíveis forem superiores ao valor de pagamento eventualmente devido pela Administração ao contratado, além da perda desse valor, a diferença será descontada da garantia prestada ou será cobrada judicialmente.</w:t>
      </w:r>
    </w:p>
    <w:p w14:paraId="6D7314ED" w14:textId="7FC9ED74" w:rsidR="001F3261" w:rsidRDefault="00000000">
      <w:pPr>
        <w:spacing w:before="220" w:after="220" w:line="360" w:lineRule="auto"/>
        <w:ind w:firstLine="580"/>
        <w:jc w:val="both"/>
        <w:rPr>
          <w:sz w:val="20"/>
          <w:szCs w:val="20"/>
        </w:rPr>
      </w:pPr>
      <w:r w:rsidRPr="001F3261">
        <w:rPr>
          <w:sz w:val="20"/>
          <w:szCs w:val="20"/>
        </w:rPr>
        <w:t xml:space="preserve">§ 9º A aplicação das sanções previstas no </w:t>
      </w:r>
      <w:r w:rsidRPr="001F3261">
        <w:rPr>
          <w:b/>
          <w:bCs/>
          <w:sz w:val="20"/>
          <w:szCs w:val="20"/>
        </w:rPr>
        <w:t>caput</w:t>
      </w:r>
      <w:r w:rsidRPr="001F3261">
        <w:rPr>
          <w:sz w:val="20"/>
          <w:szCs w:val="20"/>
        </w:rPr>
        <w:t xml:space="preserve"> deste artigo não exclui, em hipótese alguma, a obrigação de reparação integral do dano causado à Administração Pública.</w:t>
      </w:r>
    </w:p>
    <w:p w14:paraId="2C8785A5" w14:textId="77777777" w:rsidR="001A7419" w:rsidRDefault="001A7419">
      <w:pPr>
        <w:spacing w:before="220" w:after="220" w:line="360" w:lineRule="auto"/>
        <w:ind w:firstLine="580"/>
        <w:jc w:val="both"/>
        <w:rPr>
          <w:sz w:val="20"/>
          <w:szCs w:val="20"/>
        </w:rPr>
      </w:pPr>
    </w:p>
    <w:p w14:paraId="79A671C5" w14:textId="3EE85453" w:rsidR="001A7419" w:rsidRDefault="00000000" w:rsidP="001A7419">
      <w:pPr>
        <w:numPr>
          <w:ilvl w:val="0"/>
          <w:numId w:val="1"/>
        </w:numPr>
        <w:pBdr>
          <w:top w:val="nil"/>
          <w:left w:val="nil"/>
          <w:bottom w:val="nil"/>
          <w:right w:val="nil"/>
          <w:between w:val="nil"/>
        </w:pBdr>
        <w:tabs>
          <w:tab w:val="left" w:pos="426"/>
        </w:tabs>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FORMA E CRITÉRIOS DE SELEÇÃO </w:t>
      </w:r>
    </w:p>
    <w:p w14:paraId="478CFEA4" w14:textId="77777777" w:rsidR="001A7419" w:rsidRPr="001A7419" w:rsidRDefault="001A7419" w:rsidP="001A7419">
      <w:pPr>
        <w:pBdr>
          <w:top w:val="nil"/>
          <w:left w:val="nil"/>
          <w:bottom w:val="nil"/>
          <w:right w:val="nil"/>
          <w:between w:val="nil"/>
        </w:pBdr>
        <w:tabs>
          <w:tab w:val="left" w:pos="426"/>
        </w:tabs>
        <w:spacing w:line="360" w:lineRule="auto"/>
        <w:ind w:left="360"/>
        <w:jc w:val="both"/>
        <w:rPr>
          <w:rFonts w:ascii="Times New Roman" w:eastAsia="Times New Roman" w:hAnsi="Times New Roman" w:cs="Times New Roman"/>
          <w:b/>
          <w:bCs/>
          <w:color w:val="000000"/>
          <w:sz w:val="24"/>
          <w:szCs w:val="24"/>
        </w:rPr>
      </w:pPr>
    </w:p>
    <w:p w14:paraId="4A2EC1A2" w14:textId="77777777" w:rsidR="001F1278" w:rsidRDefault="00000000">
      <w:p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A modalidade de licitação será </w:t>
      </w:r>
      <w:r>
        <w:rPr>
          <w:rFonts w:ascii="Times New Roman" w:eastAsia="Times New Roman" w:hAnsi="Times New Roman" w:cs="Times New Roman"/>
          <w:b/>
          <w:bCs/>
          <w:color w:val="000000"/>
          <w:sz w:val="24"/>
          <w:szCs w:val="24"/>
        </w:rPr>
        <w:t>concorrência</w:t>
      </w:r>
      <w:r>
        <w:rPr>
          <w:rFonts w:ascii="Times New Roman" w:eastAsia="Times New Roman" w:hAnsi="Times New Roman" w:cs="Times New Roman"/>
          <w:color w:val="000000"/>
          <w:sz w:val="24"/>
          <w:szCs w:val="24"/>
        </w:rPr>
        <w:t xml:space="preserve"> e o critério de seleção será </w:t>
      </w:r>
      <w:r>
        <w:rPr>
          <w:rFonts w:ascii="Times New Roman" w:eastAsia="Times New Roman" w:hAnsi="Times New Roman" w:cs="Times New Roman"/>
          <w:b/>
          <w:bCs/>
          <w:color w:val="000000"/>
          <w:sz w:val="24"/>
          <w:szCs w:val="24"/>
        </w:rPr>
        <w:t>menor preço</w:t>
      </w:r>
      <w:r>
        <w:rPr>
          <w:rFonts w:ascii="Times New Roman" w:eastAsia="Times New Roman" w:hAnsi="Times New Roman" w:cs="Times New Roman"/>
          <w:b/>
          <w:bCs/>
          <w:sz w:val="24"/>
          <w:szCs w:val="24"/>
        </w:rPr>
        <w:t xml:space="preserve"> global</w:t>
      </w:r>
      <w:r>
        <w:rPr>
          <w:rFonts w:ascii="Times New Roman" w:eastAsia="Times New Roman" w:hAnsi="Times New Roman" w:cs="Times New Roman"/>
          <w:color w:val="000000"/>
          <w:sz w:val="24"/>
          <w:szCs w:val="24"/>
        </w:rPr>
        <w:t xml:space="preserve">, ressaltando que será realizada contratação </w:t>
      </w:r>
      <w:r>
        <w:rPr>
          <w:rFonts w:ascii="Times New Roman" w:eastAsia="Times New Roman" w:hAnsi="Times New Roman" w:cs="Times New Roman"/>
          <w:b/>
          <w:bCs/>
          <w:color w:val="000000"/>
          <w:sz w:val="24"/>
          <w:szCs w:val="24"/>
        </w:rPr>
        <w:t>semi-integrada</w:t>
      </w:r>
      <w:r>
        <w:rPr>
          <w:rFonts w:ascii="Times New Roman" w:eastAsia="Times New Roman" w:hAnsi="Times New Roman" w:cs="Times New Roman"/>
          <w:color w:val="000000"/>
          <w:sz w:val="24"/>
          <w:szCs w:val="24"/>
        </w:rPr>
        <w:t xml:space="preserve"> conforme previsto no §1do art. 17 da Lei 14.133.</w:t>
      </w:r>
    </w:p>
    <w:p w14:paraId="7EC75344" w14:textId="77777777" w:rsidR="001F1278" w:rsidRDefault="001F1278">
      <w:pPr>
        <w:spacing w:line="240" w:lineRule="auto"/>
        <w:jc w:val="both"/>
        <w:rPr>
          <w:rFonts w:ascii="Times New Roman" w:eastAsia="Times New Roman" w:hAnsi="Times New Roman" w:cs="Times New Roman"/>
          <w:sz w:val="24"/>
          <w:szCs w:val="24"/>
        </w:rPr>
      </w:pPr>
    </w:p>
    <w:p w14:paraId="3FD25BBA" w14:textId="77777777" w:rsidR="001F1278" w:rsidRPr="001A7419" w:rsidRDefault="00000000">
      <w:pPr>
        <w:numPr>
          <w:ilvl w:val="1"/>
          <w:numId w:val="1"/>
        </w:numPr>
        <w:pBdr>
          <w:top w:val="nil"/>
          <w:left w:val="nil"/>
          <w:bottom w:val="nil"/>
          <w:right w:val="nil"/>
          <w:between w:val="nil"/>
        </w:pBdr>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REGIME DE EXECUÇÃO</w:t>
      </w:r>
    </w:p>
    <w:p w14:paraId="7F4E60E6" w14:textId="77777777" w:rsidR="001A7419" w:rsidRDefault="001A7419" w:rsidP="001A7419">
      <w:pPr>
        <w:pBdr>
          <w:top w:val="nil"/>
          <w:left w:val="nil"/>
          <w:bottom w:val="nil"/>
          <w:right w:val="nil"/>
          <w:between w:val="nil"/>
        </w:pBdr>
        <w:spacing w:line="360" w:lineRule="auto"/>
        <w:ind w:left="792"/>
        <w:jc w:val="both"/>
        <w:rPr>
          <w:rFonts w:ascii="Times New Roman" w:eastAsia="Times New Roman" w:hAnsi="Times New Roman" w:cs="Times New Roman"/>
          <w:b/>
          <w:bCs/>
          <w:sz w:val="24"/>
          <w:szCs w:val="24"/>
        </w:rPr>
      </w:pPr>
    </w:p>
    <w:p w14:paraId="0415CA83" w14:textId="77777777" w:rsidR="001F1278"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regime de execução do contrato é de empreitada semi-integrada, com medições dos itens que compõem a planilha orçamentária e seus preços unitários, projetos e outros documentos técnicos presentes nos anexos desta especificação.</w:t>
      </w:r>
    </w:p>
    <w:p w14:paraId="4E99A9CB" w14:textId="79C0D0E2" w:rsidR="001A7419" w:rsidRDefault="00000000">
      <w:pPr>
        <w:spacing w:line="36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 modelo de execução do contrato inicia-se pela confecção do projeto executivo, análise da fiscalização, comissionamento da instalação, e posterior operação.</w:t>
      </w:r>
    </w:p>
    <w:p w14:paraId="42EF0141" w14:textId="77777777" w:rsidR="001F1278" w:rsidRDefault="001F1278">
      <w:pPr>
        <w:spacing w:line="240" w:lineRule="auto"/>
        <w:jc w:val="both"/>
        <w:rPr>
          <w:rFonts w:ascii="Times New Roman" w:eastAsia="Times New Roman" w:hAnsi="Times New Roman" w:cs="Times New Roman"/>
          <w:sz w:val="24"/>
          <w:szCs w:val="24"/>
        </w:rPr>
      </w:pPr>
    </w:p>
    <w:p w14:paraId="660FF354" w14:textId="77777777" w:rsidR="001F1278" w:rsidRPr="001A7419" w:rsidRDefault="00000000">
      <w:pPr>
        <w:numPr>
          <w:ilvl w:val="1"/>
          <w:numId w:val="1"/>
        </w:numPr>
        <w:pBdr>
          <w:top w:val="nil"/>
          <w:left w:val="nil"/>
          <w:bottom w:val="nil"/>
          <w:right w:val="nil"/>
          <w:between w:val="nil"/>
        </w:pBdr>
        <w:tabs>
          <w:tab w:val="left" w:pos="567"/>
        </w:tabs>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FASES DE JULGAMENTO</w:t>
      </w:r>
    </w:p>
    <w:p w14:paraId="1079C9EF" w14:textId="77777777" w:rsidR="001A7419" w:rsidRDefault="001A7419" w:rsidP="001A7419">
      <w:pPr>
        <w:pBdr>
          <w:top w:val="nil"/>
          <w:left w:val="nil"/>
          <w:bottom w:val="nil"/>
          <w:right w:val="nil"/>
          <w:between w:val="nil"/>
        </w:pBdr>
        <w:tabs>
          <w:tab w:val="left" w:pos="567"/>
        </w:tabs>
        <w:spacing w:line="360" w:lineRule="auto"/>
        <w:ind w:left="792"/>
        <w:jc w:val="both"/>
        <w:rPr>
          <w:rFonts w:ascii="Times New Roman" w:eastAsia="Times New Roman" w:hAnsi="Times New Roman" w:cs="Times New Roman"/>
          <w:b/>
          <w:bCs/>
          <w:sz w:val="24"/>
          <w:szCs w:val="24"/>
        </w:rPr>
      </w:pPr>
    </w:p>
    <w:p w14:paraId="0CF6B9C1"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Será </w:t>
      </w:r>
      <w:r>
        <w:rPr>
          <w:rFonts w:ascii="Times New Roman" w:eastAsia="Times New Roman" w:hAnsi="Times New Roman" w:cs="Times New Roman"/>
          <w:sz w:val="24"/>
          <w:szCs w:val="24"/>
        </w:rPr>
        <w:t>adotado</w:t>
      </w:r>
      <w:r>
        <w:rPr>
          <w:rFonts w:ascii="Times New Roman" w:eastAsia="Times New Roman" w:hAnsi="Times New Roman" w:cs="Times New Roman"/>
          <w:color w:val="000000"/>
          <w:sz w:val="24"/>
          <w:szCs w:val="24"/>
        </w:rPr>
        <w:t xml:space="preserve"> o método inversão de fases no procedimento licitatório </w:t>
      </w:r>
      <w:r>
        <w:rPr>
          <w:rFonts w:ascii="Times New Roman" w:eastAsia="Times New Roman" w:hAnsi="Times New Roman" w:cs="Times New Roman"/>
          <w:sz w:val="24"/>
          <w:szCs w:val="24"/>
        </w:rPr>
        <w:t>originário</w:t>
      </w:r>
      <w:r>
        <w:rPr>
          <w:rFonts w:ascii="Times New Roman" w:eastAsia="Times New Roman" w:hAnsi="Times New Roman" w:cs="Times New Roman"/>
          <w:color w:val="000000"/>
          <w:sz w:val="24"/>
          <w:szCs w:val="24"/>
        </w:rPr>
        <w:t xml:space="preserve"> deste processo, conforme previsto no §1º do Art. 17 da Lei Federal 14.133/21. Essa medida visa garantir que apenas empresas devidamente qualificadas participem da fase de lances, prevenindo distorções competitivas causadas por propostas irrealistas apresentadas por empresas sem capacidade técnica ou financeira.</w:t>
      </w:r>
    </w:p>
    <w:p w14:paraId="7040EB97"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A inversão de fases reduz o risco de lances inexequíveis ou desalinhados com a realidade de mercado, evitando que empresas desqualificadas manipulem o certame e comprometam a execução do contrato. Dessa forma, apenas concorrentes habilitados disputam a contratação, assegurando maior viabilidade e fidelidade na execução do objeto licitado.</w:t>
      </w:r>
    </w:p>
    <w:p w14:paraId="059AEED4"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Ao adotar a inversão de fases, não há prejuízos à igualdade de condições nem à competitividade, uma vez que o Projeto Básico estabelece critérios objetivos de habilitação. Além disso, os valores da contratação são evidenciados por planilhas de composição de custos definidos pela legislação trabalhista, tributária e previdenciária. Ou seja, a administração pública não será onerada com preços acima do praticado no mercado, garantindo a obtenção de valores justos com maior segurança e viabilidade de execução.</w:t>
      </w:r>
    </w:p>
    <w:p w14:paraId="23C8EEF1"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Lei 14.133/2021 permite essa inversão como uma ferramenta estratégica para aprimorar a seleção da empresa contratada e garantir a qualidade do serviço ou fornecimento. O exame prévio da documentação não compromete a competitividade do certame, pois os critérios de habilitação são objetivos e definidos no Projeto Básico, enquanto os valores da contratação seguem parâmetros normativos claros.</w:t>
      </w:r>
    </w:p>
    <w:p w14:paraId="6E8368AB"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Entre os benefícios dessa abordagem, destaca-se o aumento da transparência, pois todas as empresas concorrem sob condições conhecidas desde o início. Além disso, a antecipação da habilitação possibilita uma triagem mais criteriosa, estimulando a participação de empresas tecnicamente capacitadas e desencorajando concorrentes oportunistas que poderiam inflacionar artificialmente a fase de lances.</w:t>
      </w:r>
    </w:p>
    <w:p w14:paraId="42534F26" w14:textId="77777777" w:rsidR="001F1278" w:rsidRDefault="00000000">
      <w:pPr>
        <w:numPr>
          <w:ilvl w:val="2"/>
          <w:numId w:val="1"/>
        </w:numPr>
        <w:pBdr>
          <w:top w:val="nil"/>
          <w:left w:val="nil"/>
          <w:bottom w:val="nil"/>
          <w:right w:val="nil"/>
          <w:between w:val="nil"/>
        </w:pBdr>
        <w:tabs>
          <w:tab w:val="left" w:pos="709"/>
        </w:tabs>
        <w:spacing w:line="360" w:lineRule="auto"/>
        <w:ind w:left="0" w:firstLin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Em síntese, a inversão de fases otimiza o processo licitatório, favorece contratações mais seguras e justas e fortalece a eficiência da administração pública na obtenção de preços adequados e na seleção de fornecedores qualificados.</w:t>
      </w:r>
    </w:p>
    <w:p w14:paraId="084C7F6B" w14:textId="77777777" w:rsidR="001A7419" w:rsidRDefault="001A7419" w:rsidP="001A7419">
      <w:pPr>
        <w:pBdr>
          <w:top w:val="nil"/>
          <w:left w:val="nil"/>
          <w:bottom w:val="nil"/>
          <w:right w:val="nil"/>
          <w:between w:val="nil"/>
        </w:pBdr>
        <w:tabs>
          <w:tab w:val="left" w:pos="709"/>
        </w:tabs>
        <w:spacing w:line="360" w:lineRule="auto"/>
        <w:jc w:val="both"/>
        <w:rPr>
          <w:rFonts w:ascii="Times New Roman" w:eastAsia="Times New Roman" w:hAnsi="Times New Roman" w:cs="Times New Roman"/>
          <w:color w:val="000000"/>
          <w:sz w:val="24"/>
          <w:szCs w:val="24"/>
        </w:rPr>
      </w:pPr>
    </w:p>
    <w:p w14:paraId="1110355B" w14:textId="77777777" w:rsidR="001F1278" w:rsidRDefault="001F1278">
      <w:pPr>
        <w:pBdr>
          <w:top w:val="nil"/>
          <w:left w:val="nil"/>
          <w:bottom w:val="nil"/>
          <w:right w:val="nil"/>
          <w:between w:val="nil"/>
        </w:pBdr>
        <w:tabs>
          <w:tab w:val="left" w:pos="709"/>
        </w:tabs>
        <w:spacing w:line="240" w:lineRule="auto"/>
        <w:jc w:val="both"/>
        <w:rPr>
          <w:rFonts w:ascii="Times New Roman" w:eastAsia="Times New Roman" w:hAnsi="Times New Roman" w:cs="Times New Roman"/>
          <w:color w:val="000000"/>
          <w:sz w:val="24"/>
          <w:szCs w:val="24"/>
        </w:rPr>
      </w:pPr>
    </w:p>
    <w:p w14:paraId="35DBA1A7" w14:textId="77777777" w:rsidR="001F1278" w:rsidRDefault="00000000">
      <w:pPr>
        <w:numPr>
          <w:ilvl w:val="0"/>
          <w:numId w:val="1"/>
        </w:numPr>
        <w:pBdr>
          <w:top w:val="nil"/>
          <w:left w:val="nil"/>
          <w:bottom w:val="nil"/>
          <w:right w:val="nil"/>
          <w:between w:val="nil"/>
        </w:pBdr>
        <w:tabs>
          <w:tab w:val="left" w:pos="426"/>
        </w:tabs>
        <w:spacing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CRITÉRIOS DE ACEITABILIDADE DE PREÇOS</w:t>
      </w:r>
    </w:p>
    <w:p w14:paraId="45FB7A4D" w14:textId="77777777" w:rsidR="001A7419" w:rsidRDefault="001A7419" w:rsidP="001A7419">
      <w:pPr>
        <w:pBdr>
          <w:top w:val="nil"/>
          <w:left w:val="nil"/>
          <w:bottom w:val="nil"/>
          <w:right w:val="nil"/>
          <w:between w:val="nil"/>
        </w:pBdr>
        <w:tabs>
          <w:tab w:val="left" w:pos="426"/>
        </w:tabs>
        <w:spacing w:line="360" w:lineRule="auto"/>
        <w:ind w:left="360"/>
        <w:jc w:val="both"/>
        <w:rPr>
          <w:rFonts w:ascii="Times New Roman" w:eastAsia="Times New Roman" w:hAnsi="Times New Roman" w:cs="Times New Roman"/>
          <w:b/>
          <w:bCs/>
          <w:color w:val="000000"/>
          <w:sz w:val="24"/>
          <w:szCs w:val="24"/>
        </w:rPr>
      </w:pPr>
    </w:p>
    <w:p w14:paraId="45D542FB" w14:textId="77777777" w:rsidR="001F1278" w:rsidRDefault="00000000">
      <w:pPr>
        <w:numPr>
          <w:ilvl w:val="1"/>
          <w:numId w:val="1"/>
        </w:numPr>
        <w:pBdr>
          <w:top w:val="nil"/>
          <w:left w:val="nil"/>
          <w:bottom w:val="nil"/>
          <w:right w:val="nil"/>
          <w:between w:val="nil"/>
        </w:pBdr>
        <w:tabs>
          <w:tab w:val="left" w:pos="0"/>
          <w:tab w:val="left" w:pos="142"/>
          <w:tab w:val="left" w:pos="426"/>
        </w:tabs>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ESTIMATIVAS DO VALOR DA CONTRATAÇÃO</w:t>
      </w:r>
    </w:p>
    <w:p w14:paraId="217783AF" w14:textId="77777777" w:rsidR="001F1278" w:rsidRDefault="00000000">
      <w:pPr>
        <w:tabs>
          <w:tab w:val="left" w:pos="426"/>
          <w:tab w:val="left" w:pos="1134"/>
        </w:tabs>
        <w:spacing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24"/>
          <w:szCs w:val="24"/>
        </w:rPr>
        <w:tab/>
      </w:r>
    </w:p>
    <w:p w14:paraId="010384A7" w14:textId="0AB140B6" w:rsidR="001F1278" w:rsidRDefault="00000000">
      <w:pPr>
        <w:tabs>
          <w:tab w:val="left" w:pos="426"/>
          <w:tab w:val="left" w:pos="1134"/>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ab/>
        <w:t xml:space="preserve">O valor estimado para a presente contratação é de </w:t>
      </w:r>
      <w:r>
        <w:rPr>
          <w:rFonts w:ascii="Times New Roman" w:eastAsia="Times New Roman" w:hAnsi="Times New Roman" w:cs="Times New Roman"/>
          <w:b/>
          <w:bCs/>
          <w:sz w:val="24"/>
          <w:szCs w:val="24"/>
        </w:rPr>
        <w:t xml:space="preserve">R$ </w:t>
      </w:r>
      <w:r w:rsidR="007F09AB">
        <w:rPr>
          <w:rFonts w:ascii="Times New Roman" w:eastAsia="Times New Roman" w:hAnsi="Times New Roman" w:cs="Times New Roman"/>
          <w:b/>
          <w:bCs/>
          <w:sz w:val="24"/>
          <w:szCs w:val="24"/>
        </w:rPr>
        <w:t>24.168.911,85</w:t>
      </w:r>
      <w:r>
        <w:rPr>
          <w:rFonts w:ascii="Times New Roman" w:eastAsia="Times New Roman" w:hAnsi="Times New Roman" w:cs="Times New Roman"/>
          <w:sz w:val="24"/>
          <w:szCs w:val="24"/>
        </w:rPr>
        <w:t xml:space="preserve"> (</w:t>
      </w:r>
      <w:r w:rsidR="007F09AB">
        <w:rPr>
          <w:rFonts w:ascii="Times New Roman" w:eastAsia="Times New Roman" w:hAnsi="Times New Roman" w:cs="Times New Roman"/>
          <w:sz w:val="24"/>
          <w:szCs w:val="24"/>
        </w:rPr>
        <w:t>v</w:t>
      </w:r>
      <w:r w:rsidR="007F09AB" w:rsidRPr="007F09AB">
        <w:rPr>
          <w:rFonts w:ascii="Times New Roman" w:eastAsia="Times New Roman" w:hAnsi="Times New Roman" w:cs="Times New Roman"/>
          <w:sz w:val="24"/>
          <w:szCs w:val="24"/>
        </w:rPr>
        <w:t>inte e quatro milhões, cento e sessenta e oito mil, novecentos e onze reais e oitenta e cinco centavos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conforme detalhado nas Planilhas Orçamentárias anexas a este Projeto Básico, representando a proposta orçamentária mais econômica e vantajosa para a Administração Pública</w:t>
      </w:r>
      <w:r>
        <w:rPr>
          <w:rFonts w:ascii="Times New Roman" w:eastAsia="Times New Roman" w:hAnsi="Times New Roman" w:cs="Times New Roman"/>
          <w:color w:val="000000"/>
          <w:sz w:val="24"/>
          <w:szCs w:val="24"/>
        </w:rPr>
        <w:t xml:space="preserve">.  </w:t>
      </w:r>
    </w:p>
    <w:p w14:paraId="7F04B75B" w14:textId="04408C47" w:rsidR="001F1278" w:rsidRDefault="00000000">
      <w:pPr>
        <w:pBdr>
          <w:top w:val="nil"/>
          <w:left w:val="nil"/>
          <w:bottom w:val="nil"/>
          <w:right w:val="nil"/>
          <w:between w:val="nil"/>
        </w:pBdr>
        <w:tabs>
          <w:tab w:val="left" w:pos="426"/>
        </w:tabs>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Para a composição dos custos foram utilizadas as tabelas oficiais da EMOP, SINAPI e SCO, com mês de referência de </w:t>
      </w:r>
      <w:r w:rsidR="007F09AB">
        <w:rPr>
          <w:rFonts w:ascii="Times New Roman" w:eastAsia="Times New Roman" w:hAnsi="Times New Roman" w:cs="Times New Roman"/>
          <w:b/>
          <w:bCs/>
          <w:color w:val="000000"/>
          <w:sz w:val="24"/>
          <w:szCs w:val="24"/>
        </w:rPr>
        <w:t>dezembro</w:t>
      </w:r>
      <w:r>
        <w:rPr>
          <w:rFonts w:ascii="Times New Roman" w:eastAsia="Times New Roman" w:hAnsi="Times New Roman" w:cs="Times New Roman"/>
          <w:b/>
          <w:bCs/>
          <w:color w:val="000000"/>
          <w:sz w:val="24"/>
          <w:szCs w:val="24"/>
        </w:rPr>
        <w:t>/2025</w:t>
      </w:r>
      <w:r>
        <w:rPr>
          <w:rFonts w:ascii="Times New Roman" w:eastAsia="Times New Roman" w:hAnsi="Times New Roman" w:cs="Times New Roman"/>
          <w:color w:val="000000"/>
          <w:sz w:val="24"/>
          <w:szCs w:val="24"/>
        </w:rPr>
        <w:t>, devidamente ajustadas à realidade local e às especificações técnicas da obra.</w:t>
      </w:r>
    </w:p>
    <w:p w14:paraId="72FB2334" w14:textId="77777777" w:rsidR="001F1278" w:rsidRDefault="001F1278">
      <w:pPr>
        <w:spacing w:line="240" w:lineRule="auto"/>
        <w:jc w:val="both"/>
        <w:rPr>
          <w:rFonts w:ascii="Times New Roman" w:eastAsia="Times New Roman" w:hAnsi="Times New Roman" w:cs="Times New Roman"/>
          <w:sz w:val="24"/>
          <w:szCs w:val="24"/>
        </w:rPr>
      </w:pPr>
    </w:p>
    <w:p w14:paraId="27828518" w14:textId="77777777" w:rsidR="001F1278" w:rsidRDefault="00000000">
      <w:pPr>
        <w:numPr>
          <w:ilvl w:val="1"/>
          <w:numId w:val="1"/>
        </w:numPr>
        <w:pBdr>
          <w:top w:val="nil"/>
          <w:left w:val="nil"/>
          <w:bottom w:val="nil"/>
          <w:right w:val="nil"/>
          <w:between w:val="nil"/>
        </w:pBdr>
        <w:tabs>
          <w:tab w:val="left" w:pos="567"/>
          <w:tab w:val="left" w:pos="993"/>
        </w:tabs>
        <w:spacing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ADEQUAÇÃO ORÇAMENTÁRIA</w:t>
      </w:r>
    </w:p>
    <w:p w14:paraId="55389F4B" w14:textId="77777777" w:rsidR="001F1278" w:rsidRDefault="001F1278">
      <w:pPr>
        <w:pBdr>
          <w:top w:val="nil"/>
          <w:left w:val="nil"/>
          <w:bottom w:val="nil"/>
          <w:right w:val="nil"/>
          <w:between w:val="nil"/>
        </w:pBdr>
        <w:tabs>
          <w:tab w:val="left" w:pos="567"/>
          <w:tab w:val="left" w:pos="993"/>
        </w:tabs>
        <w:spacing w:line="240" w:lineRule="auto"/>
        <w:ind w:left="792"/>
        <w:jc w:val="both"/>
        <w:rPr>
          <w:rFonts w:ascii="Times New Roman" w:eastAsia="Times New Roman" w:hAnsi="Times New Roman" w:cs="Times New Roman"/>
          <w:b/>
          <w:bCs/>
          <w:color w:val="000000"/>
          <w:sz w:val="16"/>
          <w:szCs w:val="16"/>
        </w:rPr>
      </w:pPr>
    </w:p>
    <w:p w14:paraId="7843D536" w14:textId="77777777" w:rsidR="001F1278" w:rsidRDefault="00000000">
      <w:pPr>
        <w:numPr>
          <w:ilvl w:val="0"/>
          <w:numId w:val="3"/>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18.001.002.12.361.0018.2.075 – Manutenção do Ensino Fundamental – Ficha: 451 – Elemento de despesa: 4.4.90.51.00.00 Aplicações Diretas (Obras e Instalações) – Fonte de Recursos 1.573.0000.</w:t>
      </w:r>
    </w:p>
    <w:p w14:paraId="5D577812" w14:textId="594C134F" w:rsidR="001F1278" w:rsidRDefault="00000000">
      <w:pPr>
        <w:tabs>
          <w:tab w:val="left" w:pos="284"/>
        </w:tabs>
        <w:spacing w:line="36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Rio de janeiro, </w:t>
      </w:r>
      <w:r w:rsidR="00DE15C0">
        <w:rPr>
          <w:rFonts w:ascii="Times New Roman" w:eastAsia="Times New Roman" w:hAnsi="Times New Roman" w:cs="Times New Roman"/>
          <w:sz w:val="24"/>
          <w:szCs w:val="24"/>
        </w:rPr>
        <w:t>26</w:t>
      </w:r>
      <w:r>
        <w:rPr>
          <w:rFonts w:ascii="Times New Roman" w:eastAsia="Times New Roman" w:hAnsi="Times New Roman" w:cs="Times New Roman"/>
          <w:sz w:val="24"/>
          <w:szCs w:val="24"/>
        </w:rPr>
        <w:t xml:space="preserve"> de </w:t>
      </w:r>
      <w:r w:rsidR="007F09AB">
        <w:rPr>
          <w:rFonts w:ascii="Times New Roman" w:eastAsia="Times New Roman" w:hAnsi="Times New Roman" w:cs="Times New Roman"/>
          <w:sz w:val="24"/>
          <w:szCs w:val="24"/>
        </w:rPr>
        <w:t>fevereiro</w:t>
      </w:r>
      <w:r>
        <w:rPr>
          <w:rFonts w:ascii="Times New Roman" w:eastAsia="Times New Roman" w:hAnsi="Times New Roman" w:cs="Times New Roman"/>
          <w:sz w:val="24"/>
          <w:szCs w:val="24"/>
        </w:rPr>
        <w:t xml:space="preserve"> de 202</w:t>
      </w:r>
      <w:r w:rsidR="007F09AB">
        <w:rPr>
          <w:rFonts w:ascii="Times New Roman" w:eastAsia="Times New Roman" w:hAnsi="Times New Roman" w:cs="Times New Roman"/>
          <w:sz w:val="24"/>
          <w:szCs w:val="24"/>
        </w:rPr>
        <w:t>6</w:t>
      </w:r>
      <w:r>
        <w:rPr>
          <w:rFonts w:ascii="Times New Roman" w:eastAsia="Times New Roman" w:hAnsi="Times New Roman" w:cs="Times New Roman"/>
          <w:sz w:val="24"/>
          <w:szCs w:val="24"/>
        </w:rPr>
        <w:t xml:space="preserve">. </w:t>
      </w:r>
    </w:p>
    <w:p w14:paraId="7FA62353" w14:textId="77777777" w:rsidR="001F1278" w:rsidRDefault="001F1278">
      <w:pPr>
        <w:pBdr>
          <w:top w:val="nil"/>
          <w:left w:val="nil"/>
          <w:bottom w:val="nil"/>
          <w:right w:val="nil"/>
          <w:between w:val="nil"/>
        </w:pBdr>
        <w:rPr>
          <w:rFonts w:ascii="Times New Roman" w:eastAsia="Times New Roman" w:hAnsi="Times New Roman" w:cs="Times New Roman"/>
          <w:b/>
          <w:bCs/>
          <w:color w:val="000000"/>
          <w:sz w:val="24"/>
          <w:szCs w:val="24"/>
        </w:rPr>
      </w:pPr>
    </w:p>
    <w:p w14:paraId="23A630B9" w14:textId="77777777" w:rsidR="001F1278" w:rsidRDefault="00000000">
      <w:pPr>
        <w:pBdr>
          <w:top w:val="nil"/>
          <w:left w:val="nil"/>
          <w:bottom w:val="nil"/>
          <w:right w:val="nil"/>
          <w:between w:val="nil"/>
        </w:pBd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Elaborado por:</w:t>
      </w:r>
    </w:p>
    <w:p w14:paraId="39A7EF91" w14:textId="77777777" w:rsidR="001F1278" w:rsidRDefault="001F1278">
      <w:pPr>
        <w:rPr>
          <w:rFonts w:ascii="Times New Roman" w:eastAsia="Times New Roman" w:hAnsi="Times New Roman" w:cs="Times New Roman"/>
          <w:color w:val="000000"/>
          <w:sz w:val="24"/>
          <w:szCs w:val="24"/>
        </w:rPr>
      </w:pPr>
    </w:p>
    <w:p w14:paraId="7A9E56A7" w14:textId="77777777" w:rsidR="001F1278" w:rsidRDefault="00000000">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w:t>
      </w:r>
    </w:p>
    <w:p w14:paraId="276F41BA" w14:textId="19C6E02F" w:rsidR="001F1278" w:rsidRPr="00482CAF" w:rsidRDefault="00482CAF">
      <w:pPr>
        <w:jc w:val="center"/>
        <w:rPr>
          <w:rFonts w:ascii="Times New Roman" w:eastAsia="Times New Roman" w:hAnsi="Times New Roman" w:cs="Times New Roman"/>
          <w:b/>
          <w:bCs/>
          <w:sz w:val="24"/>
          <w:szCs w:val="24"/>
        </w:rPr>
      </w:pPr>
      <w:r w:rsidRPr="00482CAF">
        <w:rPr>
          <w:rFonts w:ascii="Times New Roman" w:eastAsia="Times New Roman" w:hAnsi="Times New Roman" w:cs="Times New Roman"/>
          <w:b/>
          <w:bCs/>
          <w:sz w:val="24"/>
          <w:szCs w:val="24"/>
        </w:rPr>
        <w:t>André Luis da Rocha Batisti</w:t>
      </w:r>
    </w:p>
    <w:p w14:paraId="72393630" w14:textId="230E6644" w:rsidR="001F1278" w:rsidRPr="00482CAF" w:rsidRDefault="00000000">
      <w:pPr>
        <w:jc w:val="center"/>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 xml:space="preserve">Assessor </w:t>
      </w:r>
      <w:r w:rsidR="00482CAF" w:rsidRPr="00482CAF">
        <w:rPr>
          <w:rFonts w:ascii="Times New Roman" w:eastAsia="Times New Roman" w:hAnsi="Times New Roman" w:cs="Times New Roman"/>
          <w:sz w:val="24"/>
          <w:szCs w:val="24"/>
        </w:rPr>
        <w:t>II</w:t>
      </w:r>
      <w:r w:rsidR="00482CAF" w:rsidRPr="00482CAF">
        <w:rPr>
          <w:rFonts w:ascii="Times New Roman" w:eastAsia="Times New Roman" w:hAnsi="Times New Roman" w:cs="Times New Roman"/>
          <w:sz w:val="24"/>
          <w:szCs w:val="24"/>
        </w:rPr>
        <w:br/>
        <w:t>Engenheiro Civil – Crea 2014140020</w:t>
      </w:r>
    </w:p>
    <w:p w14:paraId="0F19377B" w14:textId="55721225" w:rsidR="00B3105E" w:rsidRDefault="00000000">
      <w:pPr>
        <w:jc w:val="center"/>
        <w:rPr>
          <w:rFonts w:ascii="Times New Roman" w:eastAsia="Times New Roman" w:hAnsi="Times New Roman" w:cs="Times New Roman"/>
          <w:b/>
          <w:bCs/>
          <w:sz w:val="24"/>
          <w:szCs w:val="24"/>
        </w:rPr>
      </w:pPr>
      <w:r w:rsidRPr="00482CAF">
        <w:rPr>
          <w:rFonts w:ascii="Times New Roman" w:eastAsia="Times New Roman" w:hAnsi="Times New Roman" w:cs="Times New Roman"/>
          <w:b/>
          <w:bCs/>
          <w:sz w:val="24"/>
          <w:szCs w:val="24"/>
        </w:rPr>
        <w:t xml:space="preserve">Matrícula </w:t>
      </w:r>
      <w:r w:rsidR="00B3105E">
        <w:rPr>
          <w:rFonts w:ascii="Times New Roman" w:eastAsia="Times New Roman" w:hAnsi="Times New Roman" w:cs="Times New Roman"/>
          <w:b/>
          <w:bCs/>
          <w:sz w:val="24"/>
          <w:szCs w:val="24"/>
        </w:rPr>
        <w:t>60.532</w:t>
      </w:r>
    </w:p>
    <w:p w14:paraId="24B60D55" w14:textId="77777777" w:rsidR="001F1278" w:rsidRDefault="00000000">
      <w:pPr>
        <w:pBdr>
          <w:top w:val="nil"/>
          <w:left w:val="nil"/>
          <w:bottom w:val="nil"/>
          <w:right w:val="nil"/>
          <w:between w:val="nil"/>
        </w:pBd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Aprovado por:</w:t>
      </w:r>
    </w:p>
    <w:p w14:paraId="772A3C75" w14:textId="77777777" w:rsidR="001F1278" w:rsidRDefault="001F1278">
      <w:pPr>
        <w:pBdr>
          <w:top w:val="nil"/>
          <w:left w:val="nil"/>
          <w:bottom w:val="nil"/>
          <w:right w:val="nil"/>
          <w:between w:val="nil"/>
        </w:pBdr>
        <w:rPr>
          <w:rFonts w:ascii="Times New Roman" w:eastAsia="Times New Roman" w:hAnsi="Times New Roman" w:cs="Times New Roman"/>
          <w:b/>
          <w:bCs/>
          <w:color w:val="000000"/>
          <w:sz w:val="24"/>
          <w:szCs w:val="24"/>
        </w:rPr>
      </w:pPr>
    </w:p>
    <w:p w14:paraId="2A5E58C1" w14:textId="77777777" w:rsidR="001F1278" w:rsidRDefault="001F1278">
      <w:pPr>
        <w:pBdr>
          <w:top w:val="nil"/>
          <w:left w:val="nil"/>
          <w:bottom w:val="nil"/>
          <w:right w:val="nil"/>
          <w:between w:val="nil"/>
        </w:pBdr>
        <w:rPr>
          <w:rFonts w:ascii="Times New Roman" w:eastAsia="Times New Roman" w:hAnsi="Times New Roman" w:cs="Times New Roman"/>
          <w:b/>
          <w:bCs/>
          <w:color w:val="000000"/>
          <w:sz w:val="24"/>
          <w:szCs w:val="24"/>
        </w:rPr>
      </w:pPr>
    </w:p>
    <w:p w14:paraId="007FAE85" w14:textId="77777777" w:rsidR="001F1278" w:rsidRDefault="001F1278">
      <w:pPr>
        <w:pBdr>
          <w:top w:val="nil"/>
          <w:left w:val="nil"/>
          <w:bottom w:val="nil"/>
          <w:right w:val="nil"/>
          <w:between w:val="nil"/>
        </w:pBdr>
        <w:rPr>
          <w:rFonts w:ascii="Times New Roman" w:eastAsia="Times New Roman" w:hAnsi="Times New Roman" w:cs="Times New Roman"/>
          <w:b/>
          <w:bCs/>
          <w:color w:val="000000"/>
          <w:sz w:val="24"/>
          <w:szCs w:val="24"/>
        </w:rPr>
      </w:pPr>
    </w:p>
    <w:p w14:paraId="3D56E5F4" w14:textId="77777777" w:rsidR="001F1278" w:rsidRDefault="00000000">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w:t>
      </w:r>
    </w:p>
    <w:p w14:paraId="49C09FFA" w14:textId="77777777" w:rsidR="001F1278" w:rsidRPr="00482CAF" w:rsidRDefault="00000000">
      <w:pPr>
        <w:jc w:val="center"/>
        <w:rPr>
          <w:rFonts w:ascii="Times New Roman" w:eastAsia="Times New Roman" w:hAnsi="Times New Roman" w:cs="Times New Roman"/>
          <w:b/>
          <w:bCs/>
          <w:sz w:val="24"/>
          <w:szCs w:val="24"/>
        </w:rPr>
      </w:pPr>
      <w:r w:rsidRPr="00482CAF">
        <w:rPr>
          <w:rFonts w:ascii="Times New Roman" w:eastAsia="Times New Roman" w:hAnsi="Times New Roman" w:cs="Times New Roman"/>
          <w:b/>
          <w:bCs/>
          <w:sz w:val="24"/>
          <w:szCs w:val="24"/>
        </w:rPr>
        <w:t>Bernardo Martins de Alcântara Veiga da Silva</w:t>
      </w:r>
    </w:p>
    <w:p w14:paraId="7DC6130E" w14:textId="47DBB715" w:rsidR="001F1278" w:rsidRPr="00482CAF" w:rsidRDefault="00000000">
      <w:pPr>
        <w:jc w:val="center"/>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Secretário Municipal de Educação, Ciência, Tecnologia, Esporte e Lazer</w:t>
      </w:r>
    </w:p>
    <w:p w14:paraId="32D60D1A" w14:textId="77777777" w:rsidR="001F1278" w:rsidRPr="00482CAF" w:rsidRDefault="00000000">
      <w:pPr>
        <w:jc w:val="center"/>
        <w:rPr>
          <w:rFonts w:ascii="Times New Roman" w:eastAsia="Times New Roman" w:hAnsi="Times New Roman" w:cs="Times New Roman"/>
          <w:sz w:val="24"/>
          <w:szCs w:val="24"/>
        </w:rPr>
      </w:pPr>
      <w:r w:rsidRPr="00482CAF">
        <w:rPr>
          <w:rFonts w:ascii="Times New Roman" w:eastAsia="Times New Roman" w:hAnsi="Times New Roman" w:cs="Times New Roman"/>
          <w:sz w:val="24"/>
          <w:szCs w:val="24"/>
        </w:rPr>
        <w:t>Matrícula 56.963</w:t>
      </w:r>
    </w:p>
    <w:p w14:paraId="58C17297" w14:textId="77777777" w:rsidR="001F1278" w:rsidRDefault="001F1278">
      <w:pPr>
        <w:tabs>
          <w:tab w:val="left" w:pos="284"/>
        </w:tabs>
        <w:spacing w:line="360" w:lineRule="auto"/>
        <w:jc w:val="both"/>
        <w:rPr>
          <w:rFonts w:ascii="Times New Roman" w:eastAsia="Times New Roman" w:hAnsi="Times New Roman" w:cs="Times New Roman"/>
          <w:b/>
          <w:bCs/>
          <w:sz w:val="24"/>
          <w:szCs w:val="24"/>
        </w:rPr>
      </w:pPr>
    </w:p>
    <w:sectPr w:rsidR="001F1278">
      <w:headerReference w:type="default" r:id="rId21"/>
      <w:footerReference w:type="default" r:id="rId22"/>
      <w:pgSz w:w="11909" w:h="16834"/>
      <w:pgMar w:top="1440" w:right="1440" w:bottom="1440" w:left="1440" w:header="34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660C3C" w14:textId="77777777" w:rsidR="005E7047" w:rsidRDefault="005E7047">
      <w:pPr>
        <w:spacing w:line="240" w:lineRule="auto"/>
      </w:pPr>
      <w:r>
        <w:separator/>
      </w:r>
    </w:p>
  </w:endnote>
  <w:endnote w:type="continuationSeparator" w:id="0">
    <w:p w14:paraId="7780B44C" w14:textId="77777777" w:rsidR="005E7047" w:rsidRDefault="005E704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0C352A5-EBB8-411C-BF2E-8E14E2F3997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0BF1436-90E0-44C1-8512-09F756E18253}"/>
  </w:font>
  <w:font w:name="Ecofont_Spranq_eco_Sans">
    <w:altName w:val="Calibri"/>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 w:name="Montserrat SemiBold">
    <w:charset w:val="00"/>
    <w:family w:val="auto"/>
    <w:pitch w:val="variable"/>
    <w:sig w:usb0="2000020F" w:usb1="00000003" w:usb2="00000000" w:usb3="00000000" w:csb0="00000197" w:csb1="00000000"/>
    <w:embedRegular r:id="rId3" w:fontKey="{21098244-61BE-43C3-BE6A-3E7286973094}"/>
  </w:font>
  <w:font w:name="Montserrat">
    <w:charset w:val="00"/>
    <w:family w:val="auto"/>
    <w:pitch w:val="variable"/>
    <w:sig w:usb0="2000020F" w:usb1="00000003" w:usb2="00000000" w:usb3="00000000" w:csb0="00000197" w:csb1="00000000"/>
    <w:embedRegular r:id="rId4" w:fontKey="{2D49E9EA-E5AF-4DFA-843F-EAA46C9199F0}"/>
    <w:embedBold r:id="rId5" w:fontKey="{C24F227D-6D6A-4907-83CF-98FE36B7F842}"/>
  </w:font>
  <w:font w:name="Montserrat ExtraBold">
    <w:charset w:val="00"/>
    <w:family w:val="auto"/>
    <w:pitch w:val="variable"/>
    <w:sig w:usb0="2000020F" w:usb1="00000003" w:usb2="00000000" w:usb3="00000000" w:csb0="00000197" w:csb1="00000000"/>
    <w:embedRegular r:id="rId6" w:fontKey="{78705707-218C-40AF-89BD-0FBE3DAE09D4}"/>
  </w:font>
  <w:font w:name="Montserrat Black">
    <w:charset w:val="00"/>
    <w:family w:val="auto"/>
    <w:pitch w:val="variable"/>
    <w:sig w:usb0="2000020F" w:usb1="00000003" w:usb2="00000000" w:usb3="00000000" w:csb0="00000197" w:csb1="00000000"/>
    <w:embedRegular r:id="rId7" w:fontKey="{8A51B905-19C8-49AE-908F-454EDAC80EDC}"/>
  </w:font>
  <w:font w:name="Nunito SemiBold">
    <w:charset w:val="00"/>
    <w:family w:val="auto"/>
    <w:pitch w:val="variable"/>
    <w:sig w:usb0="A00002FF" w:usb1="5000204B" w:usb2="00000000" w:usb3="00000000" w:csb0="00000197" w:csb1="00000000"/>
    <w:embedRegular r:id="rId8" w:fontKey="{20BC6CA5-91D8-4DDF-B926-7E5E5CD6A487}"/>
  </w:font>
  <w:font w:name="Cambria">
    <w:panose1 w:val="02040503050406030204"/>
    <w:charset w:val="00"/>
    <w:family w:val="roman"/>
    <w:pitch w:val="variable"/>
    <w:sig w:usb0="E00006FF" w:usb1="420024FF" w:usb2="02000000" w:usb3="00000000" w:csb0="0000019F" w:csb1="00000000"/>
    <w:embedRegular r:id="rId9" w:fontKey="{2B7D3993-5074-4A91-8D12-F2A38D873D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4D66D" w14:textId="77777777" w:rsidR="001F1278" w:rsidRDefault="00000000">
    <w:pPr>
      <w:widowControl w:val="0"/>
      <w:jc w:val="center"/>
      <w:rPr>
        <w:rFonts w:ascii="Montserrat Black" w:eastAsia="Montserrat Black" w:hAnsi="Montserrat Black" w:cs="Montserrat Black"/>
        <w:color w:val="FF0000"/>
      </w:rPr>
    </w:pPr>
    <w:bookmarkStart w:id="5" w:name="_heading=h.ors57kp16h6k" w:colFirst="0" w:colLast="0"/>
    <w:bookmarkEnd w:id="5"/>
    <w:r>
      <w:rPr>
        <w:rFonts w:ascii="Montserrat Black" w:eastAsia="Montserrat Black" w:hAnsi="Montserrat Black" w:cs="Montserrat Black"/>
        <w:color w:val="3D85C6"/>
      </w:rPr>
      <w:t>__________________________</w:t>
    </w:r>
    <w:r>
      <w:rPr>
        <w:rFonts w:ascii="Montserrat Black" w:eastAsia="Montserrat Black" w:hAnsi="Montserrat Black" w:cs="Montserrat Black"/>
        <w:color w:val="FFF2CC"/>
      </w:rPr>
      <w:t>__________________________</w:t>
    </w:r>
    <w:r>
      <w:rPr>
        <w:rFonts w:ascii="Montserrat Black" w:eastAsia="Montserrat Black" w:hAnsi="Montserrat Black" w:cs="Montserrat Black"/>
        <w:color w:val="FF0000"/>
      </w:rPr>
      <w:t>__________________________</w:t>
    </w:r>
  </w:p>
  <w:p w14:paraId="4C930723" w14:textId="77777777" w:rsidR="001F1278" w:rsidRDefault="00000000">
    <w:pPr>
      <w:widowControl w:val="0"/>
      <w:jc w:val="center"/>
      <w:rPr>
        <w:rFonts w:ascii="Nunito SemiBold" w:eastAsia="Nunito SemiBold" w:hAnsi="Nunito SemiBold" w:cs="Nunito SemiBold"/>
        <w:color w:val="1C4587"/>
        <w:sz w:val="18"/>
        <w:szCs w:val="18"/>
      </w:rPr>
    </w:pPr>
    <w:r>
      <w:rPr>
        <w:rFonts w:ascii="Nunito SemiBold" w:eastAsia="Nunito SemiBold" w:hAnsi="Nunito SemiBold" w:cs="Nunito SemiBold"/>
        <w:color w:val="1C4587"/>
        <w:sz w:val="18"/>
        <w:szCs w:val="18"/>
      </w:rPr>
      <w:t>Praça Castelo Branco, Nº05, Praia dos Anjos, Arraial do Cabo – RJ. CEP: 28930-000</w:t>
    </w:r>
  </w:p>
  <w:p w14:paraId="3F85A727" w14:textId="77777777" w:rsidR="001F1278" w:rsidRDefault="00000000">
    <w:pPr>
      <w:widowControl w:val="0"/>
      <w:jc w:val="center"/>
      <w:rPr>
        <w:rFonts w:ascii="Nunito SemiBold" w:eastAsia="Nunito SemiBold" w:hAnsi="Nunito SemiBold" w:cs="Nunito SemiBold"/>
        <w:color w:val="1C4587"/>
        <w:sz w:val="18"/>
        <w:szCs w:val="18"/>
      </w:rPr>
    </w:pPr>
    <w:r>
      <w:rPr>
        <w:rFonts w:ascii="Nunito SemiBold" w:eastAsia="Nunito SemiBold" w:hAnsi="Nunito SemiBold" w:cs="Nunito SemiBold"/>
        <w:color w:val="1C4587"/>
        <w:sz w:val="18"/>
        <w:szCs w:val="18"/>
      </w:rPr>
      <w:t>adm.educacao@arraial.rj.gov.br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1B34A0" w14:textId="77777777" w:rsidR="005E7047" w:rsidRDefault="005E7047">
      <w:pPr>
        <w:spacing w:line="240" w:lineRule="auto"/>
      </w:pPr>
      <w:r>
        <w:separator/>
      </w:r>
    </w:p>
  </w:footnote>
  <w:footnote w:type="continuationSeparator" w:id="0">
    <w:p w14:paraId="27AFCFE3" w14:textId="77777777" w:rsidR="005E7047" w:rsidRDefault="005E704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62E0C" w14:textId="4D5976BA" w:rsidR="001F1278" w:rsidRDefault="007F09AB">
    <w:pPr>
      <w:widowControl w:val="0"/>
      <w:pBdr>
        <w:top w:val="nil"/>
        <w:left w:val="nil"/>
        <w:bottom w:val="nil"/>
        <w:right w:val="nil"/>
        <w:between w:val="nil"/>
      </w:pBdr>
      <w:rPr>
        <w:rFonts w:ascii="Times New Roman" w:eastAsia="Times New Roman" w:hAnsi="Times New Roman" w:cs="Times New Roman"/>
        <w:b/>
        <w:bCs/>
        <w:sz w:val="24"/>
        <w:szCs w:val="24"/>
      </w:rPr>
    </w:pPr>
    <w:r w:rsidRPr="007F09AB">
      <w:rPr>
        <w:rFonts w:ascii="Montserrat SemiBold" w:eastAsia="Montserrat SemiBold" w:hAnsi="Montserrat SemiBold" w:cs="Montserrat SemiBold"/>
        <w:noProof/>
        <w:color w:val="073763"/>
      </w:rPr>
      <w:drawing>
        <wp:anchor distT="0" distB="0" distL="114300" distR="114300" simplePos="0" relativeHeight="251658240" behindDoc="1" locked="0" layoutInCell="1" allowOverlap="1" wp14:anchorId="17777930" wp14:editId="4BBDD69A">
          <wp:simplePos x="0" y="0"/>
          <wp:positionH relativeFrom="column">
            <wp:posOffset>5495925</wp:posOffset>
          </wp:positionH>
          <wp:positionV relativeFrom="paragraph">
            <wp:posOffset>-158750</wp:posOffset>
          </wp:positionV>
          <wp:extent cx="1038370" cy="447737"/>
          <wp:effectExtent l="0" t="0" r="9525" b="0"/>
          <wp:wrapNone/>
          <wp:docPr id="4703733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73322" name=""/>
                  <pic:cNvPicPr/>
                </pic:nvPicPr>
                <pic:blipFill>
                  <a:blip r:embed="rId1">
                    <a:extLst>
                      <a:ext uri="{28A0092B-C50C-407E-A947-70E740481C1C}">
                        <a14:useLocalDpi xmlns:a14="http://schemas.microsoft.com/office/drawing/2010/main" val="0"/>
                      </a:ext>
                    </a:extLst>
                  </a:blip>
                  <a:stretch>
                    <a:fillRect/>
                  </a:stretch>
                </pic:blipFill>
                <pic:spPr>
                  <a:xfrm>
                    <a:off x="0" y="0"/>
                    <a:ext cx="1038370" cy="447737"/>
                  </a:xfrm>
                  <a:prstGeom prst="rect">
                    <a:avLst/>
                  </a:prstGeom>
                </pic:spPr>
              </pic:pic>
            </a:graphicData>
          </a:graphic>
        </wp:anchor>
      </w:drawing>
    </w:r>
  </w:p>
  <w:tbl>
    <w:tblPr>
      <w:tblStyle w:val="a2"/>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50"/>
      <w:gridCol w:w="4650"/>
    </w:tblGrid>
    <w:tr w:rsidR="001F1278" w14:paraId="20DAA1A5" w14:textId="77777777">
      <w:tc>
        <w:tcPr>
          <w:tcW w:w="4350" w:type="dxa"/>
          <w:tcBorders>
            <w:top w:val="nil"/>
            <w:left w:val="nil"/>
            <w:bottom w:val="nil"/>
            <w:right w:val="nil"/>
          </w:tcBorders>
          <w:tcMar>
            <w:top w:w="100" w:type="dxa"/>
            <w:left w:w="100" w:type="dxa"/>
            <w:bottom w:w="100" w:type="dxa"/>
            <w:right w:w="100" w:type="dxa"/>
          </w:tcMar>
        </w:tcPr>
        <w:p w14:paraId="4FA1729A" w14:textId="5B5A0D61" w:rsidR="001F1278" w:rsidRDefault="00000000">
          <w:pPr>
            <w:widowControl w:val="0"/>
            <w:spacing w:line="240" w:lineRule="auto"/>
          </w:pPr>
          <w:r>
            <w:rPr>
              <w:noProof/>
            </w:rPr>
            <w:drawing>
              <wp:anchor distT="0" distB="0" distL="114300" distR="114300" simplePos="0" relativeHeight="251656192" behindDoc="0" locked="0" layoutInCell="1" hidden="0" allowOverlap="1" wp14:anchorId="0FE9671C" wp14:editId="6DC57424">
                <wp:simplePos x="0" y="0"/>
                <wp:positionH relativeFrom="column">
                  <wp:posOffset>3176</wp:posOffset>
                </wp:positionH>
                <wp:positionV relativeFrom="paragraph">
                  <wp:posOffset>38404</wp:posOffset>
                </wp:positionV>
                <wp:extent cx="2636520" cy="594360"/>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2636520" cy="594360"/>
                        </a:xfrm>
                        <a:prstGeom prst="rect">
                          <a:avLst/>
                        </a:prstGeom>
                        <a:ln/>
                      </pic:spPr>
                    </pic:pic>
                  </a:graphicData>
                </a:graphic>
              </wp:anchor>
            </w:drawing>
          </w:r>
        </w:p>
      </w:tc>
      <w:tc>
        <w:tcPr>
          <w:tcW w:w="4650" w:type="dxa"/>
          <w:tcBorders>
            <w:top w:val="nil"/>
            <w:left w:val="nil"/>
            <w:bottom w:val="nil"/>
            <w:right w:val="nil"/>
          </w:tcBorders>
          <w:tcMar>
            <w:top w:w="100" w:type="dxa"/>
            <w:left w:w="100" w:type="dxa"/>
            <w:bottom w:w="100" w:type="dxa"/>
            <w:right w:w="100" w:type="dxa"/>
          </w:tcMar>
        </w:tcPr>
        <w:p w14:paraId="7FB65BAD" w14:textId="77777777" w:rsidR="001F1278" w:rsidRDefault="00000000">
          <w:pPr>
            <w:tabs>
              <w:tab w:val="left" w:pos="3165"/>
            </w:tabs>
            <w:spacing w:line="240" w:lineRule="auto"/>
            <w:jc w:val="right"/>
            <w:rPr>
              <w:rFonts w:ascii="Montserrat" w:eastAsia="Montserrat" w:hAnsi="Montserrat" w:cs="Montserrat"/>
              <w:b/>
              <w:bCs/>
              <w:color w:val="073763"/>
              <w:sz w:val="20"/>
              <w:szCs w:val="20"/>
            </w:rPr>
          </w:pPr>
          <w:r>
            <w:rPr>
              <w:rFonts w:ascii="Montserrat" w:eastAsia="Montserrat" w:hAnsi="Montserrat" w:cs="Montserrat"/>
              <w:b/>
              <w:bCs/>
              <w:color w:val="073763"/>
              <w:sz w:val="20"/>
              <w:szCs w:val="20"/>
            </w:rPr>
            <w:t>ESTADO DO RIO DE JANEIRO</w:t>
          </w:r>
          <w:r>
            <w:rPr>
              <w:noProof/>
            </w:rPr>
            <w:drawing>
              <wp:anchor distT="0" distB="0" distL="0" distR="0" simplePos="0" relativeHeight="251657216" behindDoc="1" locked="0" layoutInCell="1" hidden="0" allowOverlap="1" wp14:anchorId="1BE132FA" wp14:editId="296D6887">
                <wp:simplePos x="0" y="0"/>
                <wp:positionH relativeFrom="column">
                  <wp:posOffset>4899660</wp:posOffset>
                </wp:positionH>
                <wp:positionV relativeFrom="paragraph">
                  <wp:posOffset>-633</wp:posOffset>
                </wp:positionV>
                <wp:extent cx="1076325" cy="466090"/>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
                        <a:srcRect l="5286" t="8882" r="69934" b="26972"/>
                        <a:stretch>
                          <a:fillRect/>
                        </a:stretch>
                      </pic:blipFill>
                      <pic:spPr>
                        <a:xfrm>
                          <a:off x="0" y="0"/>
                          <a:ext cx="1076325" cy="466090"/>
                        </a:xfrm>
                        <a:prstGeom prst="rect">
                          <a:avLst/>
                        </a:prstGeom>
                        <a:ln/>
                      </pic:spPr>
                    </pic:pic>
                  </a:graphicData>
                </a:graphic>
              </wp:anchor>
            </w:drawing>
          </w:r>
        </w:p>
        <w:p w14:paraId="11E804F8" w14:textId="6A1F4205" w:rsidR="001F1278" w:rsidRDefault="00000000">
          <w:pPr>
            <w:tabs>
              <w:tab w:val="left" w:pos="3165"/>
            </w:tabs>
            <w:spacing w:line="240" w:lineRule="auto"/>
            <w:jc w:val="right"/>
            <w:rPr>
              <w:rFonts w:ascii="Montserrat" w:eastAsia="Montserrat" w:hAnsi="Montserrat" w:cs="Montserrat"/>
              <w:b/>
              <w:bCs/>
              <w:color w:val="073763"/>
              <w:sz w:val="20"/>
              <w:szCs w:val="20"/>
            </w:rPr>
          </w:pPr>
          <w:r>
            <w:rPr>
              <w:rFonts w:ascii="Montserrat" w:eastAsia="Montserrat" w:hAnsi="Montserrat" w:cs="Montserrat"/>
              <w:b/>
              <w:bCs/>
              <w:color w:val="073763"/>
              <w:sz w:val="20"/>
              <w:szCs w:val="20"/>
            </w:rPr>
            <w:t>PREFEITURA DE ARRAIAL DO CABO</w:t>
          </w:r>
        </w:p>
        <w:p w14:paraId="0D136128" w14:textId="789960E7" w:rsidR="001F1278" w:rsidRDefault="00000000">
          <w:pPr>
            <w:tabs>
              <w:tab w:val="left" w:pos="3165"/>
            </w:tabs>
            <w:spacing w:line="240" w:lineRule="auto"/>
            <w:jc w:val="right"/>
            <w:rPr>
              <w:rFonts w:ascii="Montserrat ExtraBold" w:eastAsia="Montserrat ExtraBold" w:hAnsi="Montserrat ExtraBold" w:cs="Montserrat ExtraBold"/>
              <w:color w:val="073763"/>
              <w:sz w:val="20"/>
              <w:szCs w:val="20"/>
            </w:rPr>
          </w:pPr>
          <w:r>
            <w:rPr>
              <w:rFonts w:ascii="Montserrat ExtraBold" w:eastAsia="Montserrat ExtraBold" w:hAnsi="Montserrat ExtraBold" w:cs="Montserrat ExtraBold"/>
              <w:color w:val="073763"/>
              <w:sz w:val="20"/>
              <w:szCs w:val="20"/>
            </w:rPr>
            <w:t>SECRETARIA DE EDUCAÇÃO</w:t>
          </w:r>
        </w:p>
        <w:p w14:paraId="2C5C6BC4" w14:textId="2AC70C08" w:rsidR="001F1278" w:rsidRDefault="00000000" w:rsidP="007F09AB">
          <w:pPr>
            <w:tabs>
              <w:tab w:val="left" w:pos="3165"/>
            </w:tabs>
            <w:spacing w:line="240" w:lineRule="auto"/>
            <w:jc w:val="right"/>
            <w:rPr>
              <w:rFonts w:ascii="Montserrat" w:eastAsia="Montserrat" w:hAnsi="Montserrat" w:cs="Montserrat"/>
              <w:b/>
              <w:bCs/>
              <w:color w:val="073763"/>
              <w:sz w:val="16"/>
              <w:szCs w:val="16"/>
            </w:rPr>
          </w:pPr>
          <w:r>
            <w:rPr>
              <w:rFonts w:ascii="Montserrat" w:eastAsia="Montserrat" w:hAnsi="Montserrat" w:cs="Montserrat"/>
              <w:b/>
              <w:bCs/>
              <w:color w:val="073763"/>
              <w:sz w:val="16"/>
              <w:szCs w:val="16"/>
            </w:rPr>
            <w:t xml:space="preserve">Subsecretaria de </w:t>
          </w:r>
          <w:r w:rsidR="007F09AB">
            <w:rPr>
              <w:rFonts w:ascii="Montserrat" w:eastAsia="Montserrat" w:hAnsi="Montserrat" w:cs="Montserrat"/>
              <w:b/>
              <w:bCs/>
              <w:color w:val="073763"/>
              <w:sz w:val="16"/>
              <w:szCs w:val="16"/>
            </w:rPr>
            <w:t>Infraestrutura</w:t>
          </w:r>
        </w:p>
        <w:p w14:paraId="709F0DA0" w14:textId="77777777" w:rsidR="001F1278" w:rsidRDefault="001F1278">
          <w:pPr>
            <w:tabs>
              <w:tab w:val="left" w:pos="3165"/>
            </w:tabs>
            <w:spacing w:line="240" w:lineRule="auto"/>
            <w:rPr>
              <w:rFonts w:ascii="Montserrat" w:eastAsia="Montserrat" w:hAnsi="Montserrat" w:cs="Montserrat"/>
              <w:color w:val="073763"/>
              <w:sz w:val="24"/>
              <w:szCs w:val="24"/>
            </w:rPr>
          </w:pPr>
        </w:p>
      </w:tc>
    </w:tr>
  </w:tbl>
  <w:p w14:paraId="7E780DC8" w14:textId="48F72BD5" w:rsidR="001F1278" w:rsidRDefault="00000000">
    <w:pPr>
      <w:widowControl w:val="0"/>
      <w:spacing w:line="240" w:lineRule="auto"/>
      <w:rPr>
        <w:rFonts w:ascii="Montserrat SemiBold" w:eastAsia="Montserrat SemiBold" w:hAnsi="Montserrat SemiBold" w:cs="Montserrat SemiBold"/>
        <w:color w:val="073763"/>
      </w:rPr>
    </w:pPr>
    <w:r>
      <w:rPr>
        <w:rFonts w:ascii="Montserrat SemiBold" w:eastAsia="Montserrat SemiBold" w:hAnsi="Montserrat SemiBold" w:cs="Montserrat SemiBold"/>
        <w:color w:val="073763"/>
      </w:rPr>
      <w:pict w14:anchorId="654FD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28.15pt;margin-top:96.1pt;width:781.65pt;height:977.75pt;rotation:345;z-index:-251657216;mso-position-horizontal:absolute;mso-position-horizontal-relative:margin;mso-position-vertical:absolute;mso-position-vertical-relative:margin">
          <v:imagedata r:id="rId4" o:title="imag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C6727"/>
    <w:multiLevelType w:val="multilevel"/>
    <w:tmpl w:val="1D2ED474"/>
    <w:lvl w:ilvl="0">
      <w:start w:val="1"/>
      <w:numFmt w:val="decimal"/>
      <w:lvlText w:val="%1."/>
      <w:lvlJc w:val="left"/>
      <w:pPr>
        <w:ind w:left="360" w:hanging="360"/>
      </w:pPr>
      <w:rPr>
        <w:rFonts w:ascii="Times New Roman" w:eastAsia="Times New Roman" w:hAnsi="Times New Roman" w:cs="Times New Roman"/>
        <w:b/>
        <w:bCs/>
        <w:sz w:val="18"/>
        <w:szCs w:val="18"/>
      </w:rPr>
    </w:lvl>
    <w:lvl w:ilvl="1">
      <w:start w:val="1"/>
      <w:numFmt w:val="decimal"/>
      <w:lvlText w:val="%1.%2."/>
      <w:lvlJc w:val="left"/>
      <w:pPr>
        <w:ind w:left="792" w:hanging="432"/>
      </w:pPr>
      <w:rPr>
        <w:rFonts w:ascii="Times New Roman" w:eastAsia="Times New Roman" w:hAnsi="Times New Roman" w:cs="Times New Roman"/>
        <w:b/>
        <w:bCs/>
        <w:color w:val="000000"/>
        <w:sz w:val="18"/>
        <w:szCs w:val="18"/>
      </w:rPr>
    </w:lvl>
    <w:lvl w:ilvl="2">
      <w:start w:val="1"/>
      <w:numFmt w:val="decimal"/>
      <w:lvlText w:val="%1.%2.%3."/>
      <w:lvlJc w:val="left"/>
      <w:pPr>
        <w:ind w:left="1224" w:hanging="504"/>
      </w:pPr>
      <w:rPr>
        <w:rFonts w:ascii="Times New Roman" w:eastAsia="Times New Roman" w:hAnsi="Times New Roman" w:cs="Times New Roman"/>
        <w:b w:val="0"/>
        <w:bCs w:val="0"/>
        <w:sz w:val="18"/>
        <w:szCs w:val="18"/>
      </w:rPr>
    </w:lvl>
    <w:lvl w:ilvl="3">
      <w:start w:val="1"/>
      <w:numFmt w:val="decimal"/>
      <w:lvlText w:val="%1.%2.%3.%4."/>
      <w:lvlJc w:val="left"/>
      <w:pPr>
        <w:ind w:left="1728" w:hanging="647"/>
      </w:pPr>
      <w:rPr>
        <w:b/>
        <w:bCs/>
        <w:sz w:val="18"/>
        <w:szCs w:val="18"/>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23C2F52"/>
    <w:multiLevelType w:val="multilevel"/>
    <w:tmpl w:val="4A2CD4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6782935"/>
    <w:multiLevelType w:val="hybridMultilevel"/>
    <w:tmpl w:val="1A48C658"/>
    <w:lvl w:ilvl="0" w:tplc="04160001">
      <w:start w:val="1"/>
      <w:numFmt w:val="bullet"/>
      <w:lvlText w:val=""/>
      <w:lvlJc w:val="left"/>
      <w:pPr>
        <w:ind w:left="1146" w:hanging="360"/>
      </w:pPr>
      <w:rPr>
        <w:rFonts w:ascii="Symbol" w:hAnsi="Symbol" w:hint="default"/>
      </w:rPr>
    </w:lvl>
    <w:lvl w:ilvl="1" w:tplc="04160003" w:tentative="1">
      <w:start w:val="1"/>
      <w:numFmt w:val="bullet"/>
      <w:lvlText w:val="o"/>
      <w:lvlJc w:val="left"/>
      <w:pPr>
        <w:ind w:left="1866" w:hanging="360"/>
      </w:pPr>
      <w:rPr>
        <w:rFonts w:ascii="Courier New" w:hAnsi="Courier New" w:cs="Courier New" w:hint="default"/>
      </w:rPr>
    </w:lvl>
    <w:lvl w:ilvl="2" w:tplc="04160005" w:tentative="1">
      <w:start w:val="1"/>
      <w:numFmt w:val="bullet"/>
      <w:lvlText w:val=""/>
      <w:lvlJc w:val="left"/>
      <w:pPr>
        <w:ind w:left="2586" w:hanging="360"/>
      </w:pPr>
      <w:rPr>
        <w:rFonts w:ascii="Wingdings" w:hAnsi="Wingdings" w:hint="default"/>
      </w:rPr>
    </w:lvl>
    <w:lvl w:ilvl="3" w:tplc="04160001" w:tentative="1">
      <w:start w:val="1"/>
      <w:numFmt w:val="bullet"/>
      <w:lvlText w:val=""/>
      <w:lvlJc w:val="left"/>
      <w:pPr>
        <w:ind w:left="3306" w:hanging="360"/>
      </w:pPr>
      <w:rPr>
        <w:rFonts w:ascii="Symbol" w:hAnsi="Symbol" w:hint="default"/>
      </w:rPr>
    </w:lvl>
    <w:lvl w:ilvl="4" w:tplc="04160003" w:tentative="1">
      <w:start w:val="1"/>
      <w:numFmt w:val="bullet"/>
      <w:lvlText w:val="o"/>
      <w:lvlJc w:val="left"/>
      <w:pPr>
        <w:ind w:left="4026" w:hanging="360"/>
      </w:pPr>
      <w:rPr>
        <w:rFonts w:ascii="Courier New" w:hAnsi="Courier New" w:cs="Courier New" w:hint="default"/>
      </w:rPr>
    </w:lvl>
    <w:lvl w:ilvl="5" w:tplc="04160005" w:tentative="1">
      <w:start w:val="1"/>
      <w:numFmt w:val="bullet"/>
      <w:lvlText w:val=""/>
      <w:lvlJc w:val="left"/>
      <w:pPr>
        <w:ind w:left="4746" w:hanging="360"/>
      </w:pPr>
      <w:rPr>
        <w:rFonts w:ascii="Wingdings" w:hAnsi="Wingdings" w:hint="default"/>
      </w:rPr>
    </w:lvl>
    <w:lvl w:ilvl="6" w:tplc="04160001" w:tentative="1">
      <w:start w:val="1"/>
      <w:numFmt w:val="bullet"/>
      <w:lvlText w:val=""/>
      <w:lvlJc w:val="left"/>
      <w:pPr>
        <w:ind w:left="5466" w:hanging="360"/>
      </w:pPr>
      <w:rPr>
        <w:rFonts w:ascii="Symbol" w:hAnsi="Symbol" w:hint="default"/>
      </w:rPr>
    </w:lvl>
    <w:lvl w:ilvl="7" w:tplc="04160003" w:tentative="1">
      <w:start w:val="1"/>
      <w:numFmt w:val="bullet"/>
      <w:lvlText w:val="o"/>
      <w:lvlJc w:val="left"/>
      <w:pPr>
        <w:ind w:left="6186" w:hanging="360"/>
      </w:pPr>
      <w:rPr>
        <w:rFonts w:ascii="Courier New" w:hAnsi="Courier New" w:cs="Courier New" w:hint="default"/>
      </w:rPr>
    </w:lvl>
    <w:lvl w:ilvl="8" w:tplc="04160005" w:tentative="1">
      <w:start w:val="1"/>
      <w:numFmt w:val="bullet"/>
      <w:lvlText w:val=""/>
      <w:lvlJc w:val="left"/>
      <w:pPr>
        <w:ind w:left="6906" w:hanging="360"/>
      </w:pPr>
      <w:rPr>
        <w:rFonts w:ascii="Wingdings" w:hAnsi="Wingdings" w:hint="default"/>
      </w:rPr>
    </w:lvl>
  </w:abstractNum>
  <w:abstractNum w:abstractNumId="3" w15:restartNumberingAfterBreak="0">
    <w:nsid w:val="1CD678B9"/>
    <w:multiLevelType w:val="hybridMultilevel"/>
    <w:tmpl w:val="6A8E4F9E"/>
    <w:lvl w:ilvl="0" w:tplc="04160017">
      <w:start w:val="1"/>
      <w:numFmt w:val="lowerLetter"/>
      <w:lvlText w:val="%1)"/>
      <w:lvlJc w:val="left"/>
      <w:pPr>
        <w:ind w:left="3414" w:hanging="360"/>
      </w:pPr>
    </w:lvl>
    <w:lvl w:ilvl="1" w:tplc="04160019" w:tentative="1">
      <w:start w:val="1"/>
      <w:numFmt w:val="lowerLetter"/>
      <w:lvlText w:val="%2."/>
      <w:lvlJc w:val="left"/>
      <w:pPr>
        <w:ind w:left="4134" w:hanging="360"/>
      </w:pPr>
    </w:lvl>
    <w:lvl w:ilvl="2" w:tplc="0416001B" w:tentative="1">
      <w:start w:val="1"/>
      <w:numFmt w:val="lowerRoman"/>
      <w:lvlText w:val="%3."/>
      <w:lvlJc w:val="right"/>
      <w:pPr>
        <w:ind w:left="4854" w:hanging="180"/>
      </w:pPr>
    </w:lvl>
    <w:lvl w:ilvl="3" w:tplc="0416000F" w:tentative="1">
      <w:start w:val="1"/>
      <w:numFmt w:val="decimal"/>
      <w:lvlText w:val="%4."/>
      <w:lvlJc w:val="left"/>
      <w:pPr>
        <w:ind w:left="5574" w:hanging="360"/>
      </w:pPr>
    </w:lvl>
    <w:lvl w:ilvl="4" w:tplc="04160019" w:tentative="1">
      <w:start w:val="1"/>
      <w:numFmt w:val="lowerLetter"/>
      <w:lvlText w:val="%5."/>
      <w:lvlJc w:val="left"/>
      <w:pPr>
        <w:ind w:left="6294" w:hanging="360"/>
      </w:pPr>
    </w:lvl>
    <w:lvl w:ilvl="5" w:tplc="0416001B" w:tentative="1">
      <w:start w:val="1"/>
      <w:numFmt w:val="lowerRoman"/>
      <w:lvlText w:val="%6."/>
      <w:lvlJc w:val="right"/>
      <w:pPr>
        <w:ind w:left="7014" w:hanging="180"/>
      </w:pPr>
    </w:lvl>
    <w:lvl w:ilvl="6" w:tplc="0416000F" w:tentative="1">
      <w:start w:val="1"/>
      <w:numFmt w:val="decimal"/>
      <w:lvlText w:val="%7."/>
      <w:lvlJc w:val="left"/>
      <w:pPr>
        <w:ind w:left="7734" w:hanging="360"/>
      </w:pPr>
    </w:lvl>
    <w:lvl w:ilvl="7" w:tplc="04160019" w:tentative="1">
      <w:start w:val="1"/>
      <w:numFmt w:val="lowerLetter"/>
      <w:lvlText w:val="%8."/>
      <w:lvlJc w:val="left"/>
      <w:pPr>
        <w:ind w:left="8454" w:hanging="360"/>
      </w:pPr>
    </w:lvl>
    <w:lvl w:ilvl="8" w:tplc="0416001B" w:tentative="1">
      <w:start w:val="1"/>
      <w:numFmt w:val="lowerRoman"/>
      <w:lvlText w:val="%9."/>
      <w:lvlJc w:val="right"/>
      <w:pPr>
        <w:ind w:left="9174" w:hanging="180"/>
      </w:pPr>
    </w:lvl>
  </w:abstractNum>
  <w:abstractNum w:abstractNumId="4" w15:restartNumberingAfterBreak="0">
    <w:nsid w:val="26CB64D7"/>
    <w:multiLevelType w:val="multilevel"/>
    <w:tmpl w:val="D5C445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A105089"/>
    <w:multiLevelType w:val="multilevel"/>
    <w:tmpl w:val="97CAA348"/>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6" w15:restartNumberingAfterBreak="0">
    <w:nsid w:val="2DAF4347"/>
    <w:multiLevelType w:val="multilevel"/>
    <w:tmpl w:val="93B2B976"/>
    <w:lvl w:ilvl="0">
      <w:start w:val="1"/>
      <w:numFmt w:val="bullet"/>
      <w:pStyle w:val="Nivel1"/>
      <w:lvlText w:val="●"/>
      <w:lvlJc w:val="left"/>
      <w:pPr>
        <w:ind w:left="720" w:hanging="360"/>
      </w:pPr>
      <w:rPr>
        <w:rFonts w:ascii="Noto Sans Symbols" w:eastAsia="Noto Sans Symbols" w:hAnsi="Noto Sans Symbols" w:cs="Noto Sans Symbols"/>
      </w:rPr>
    </w:lvl>
    <w:lvl w:ilvl="1">
      <w:start w:val="1"/>
      <w:numFmt w:val="bullet"/>
      <w:pStyle w:val="Nivel2"/>
      <w:lvlText w:val="o"/>
      <w:lvlJc w:val="left"/>
      <w:pPr>
        <w:ind w:left="1440" w:hanging="360"/>
      </w:pPr>
      <w:rPr>
        <w:rFonts w:ascii="Courier New" w:eastAsia="Courier New" w:hAnsi="Courier New" w:cs="Courier New"/>
      </w:rPr>
    </w:lvl>
    <w:lvl w:ilvl="2">
      <w:start w:val="1"/>
      <w:numFmt w:val="bullet"/>
      <w:pStyle w:val="Nivel3"/>
      <w:lvlText w:val="▪"/>
      <w:lvlJc w:val="left"/>
      <w:pPr>
        <w:ind w:left="2160" w:hanging="360"/>
      </w:pPr>
      <w:rPr>
        <w:rFonts w:ascii="Noto Sans Symbols" w:eastAsia="Noto Sans Symbols" w:hAnsi="Noto Sans Symbols" w:cs="Noto Sans Symbols"/>
      </w:rPr>
    </w:lvl>
    <w:lvl w:ilvl="3">
      <w:start w:val="1"/>
      <w:numFmt w:val="bullet"/>
      <w:pStyle w:val="Nivel4"/>
      <w:lvlText w:val="●"/>
      <w:lvlJc w:val="left"/>
      <w:pPr>
        <w:ind w:left="2880" w:hanging="360"/>
      </w:pPr>
      <w:rPr>
        <w:rFonts w:ascii="Noto Sans Symbols" w:eastAsia="Noto Sans Symbols" w:hAnsi="Noto Sans Symbols" w:cs="Noto Sans Symbols"/>
      </w:rPr>
    </w:lvl>
    <w:lvl w:ilvl="4">
      <w:start w:val="1"/>
      <w:numFmt w:val="bullet"/>
      <w:pStyle w:val="Nivel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8BE15A8"/>
    <w:multiLevelType w:val="multilevel"/>
    <w:tmpl w:val="DFF69970"/>
    <w:lvl w:ilvl="0">
      <w:start w:val="1"/>
      <w:numFmt w:val="lowerLetter"/>
      <w:lvlText w:val="%1)"/>
      <w:lvlJc w:val="left"/>
      <w:pPr>
        <w:ind w:left="1512" w:hanging="360"/>
      </w:pPr>
      <w:rPr>
        <w:b w:val="0"/>
        <w:bCs w:val="0"/>
      </w:rPr>
    </w:lvl>
    <w:lvl w:ilvl="1">
      <w:start w:val="1"/>
      <w:numFmt w:val="lowerLetter"/>
      <w:lvlText w:val="%2."/>
      <w:lvlJc w:val="left"/>
      <w:pPr>
        <w:ind w:left="2232" w:hanging="360"/>
      </w:pPr>
    </w:lvl>
    <w:lvl w:ilvl="2">
      <w:start w:val="1"/>
      <w:numFmt w:val="lowerRoman"/>
      <w:lvlText w:val="%3."/>
      <w:lvlJc w:val="right"/>
      <w:pPr>
        <w:ind w:left="2952" w:hanging="180"/>
      </w:pPr>
    </w:lvl>
    <w:lvl w:ilvl="3">
      <w:start w:val="1"/>
      <w:numFmt w:val="decimal"/>
      <w:lvlText w:val="%4."/>
      <w:lvlJc w:val="left"/>
      <w:pPr>
        <w:ind w:left="3672" w:hanging="360"/>
      </w:pPr>
    </w:lvl>
    <w:lvl w:ilvl="4">
      <w:start w:val="1"/>
      <w:numFmt w:val="lowerLetter"/>
      <w:lvlText w:val="%5."/>
      <w:lvlJc w:val="left"/>
      <w:pPr>
        <w:ind w:left="4392" w:hanging="360"/>
      </w:pPr>
    </w:lvl>
    <w:lvl w:ilvl="5">
      <w:start w:val="1"/>
      <w:numFmt w:val="lowerRoman"/>
      <w:lvlText w:val="%6."/>
      <w:lvlJc w:val="right"/>
      <w:pPr>
        <w:ind w:left="5112" w:hanging="180"/>
      </w:pPr>
    </w:lvl>
    <w:lvl w:ilvl="6">
      <w:start w:val="1"/>
      <w:numFmt w:val="decimal"/>
      <w:lvlText w:val="%7."/>
      <w:lvlJc w:val="left"/>
      <w:pPr>
        <w:ind w:left="5832" w:hanging="360"/>
      </w:pPr>
    </w:lvl>
    <w:lvl w:ilvl="7">
      <w:start w:val="1"/>
      <w:numFmt w:val="lowerLetter"/>
      <w:lvlText w:val="%8."/>
      <w:lvlJc w:val="left"/>
      <w:pPr>
        <w:ind w:left="6552" w:hanging="360"/>
      </w:pPr>
    </w:lvl>
    <w:lvl w:ilvl="8">
      <w:start w:val="1"/>
      <w:numFmt w:val="lowerRoman"/>
      <w:lvlText w:val="%9."/>
      <w:lvlJc w:val="right"/>
      <w:pPr>
        <w:ind w:left="7272" w:hanging="180"/>
      </w:pPr>
    </w:lvl>
  </w:abstractNum>
  <w:abstractNum w:abstractNumId="8" w15:restartNumberingAfterBreak="0">
    <w:nsid w:val="3DE23CC3"/>
    <w:multiLevelType w:val="multilevel"/>
    <w:tmpl w:val="A0B27BCA"/>
    <w:lvl w:ilvl="0">
      <w:start w:val="1"/>
      <w:numFmt w:val="upperRoman"/>
      <w:lvlText w:val="%1)"/>
      <w:lvlJc w:val="left"/>
      <w:pPr>
        <w:ind w:left="2136" w:hanging="720"/>
      </w:p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9" w15:restartNumberingAfterBreak="0">
    <w:nsid w:val="54DF3A61"/>
    <w:multiLevelType w:val="multilevel"/>
    <w:tmpl w:val="9BDCF6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9877B93"/>
    <w:multiLevelType w:val="hybridMultilevel"/>
    <w:tmpl w:val="059226B8"/>
    <w:lvl w:ilvl="0" w:tplc="04160013">
      <w:start w:val="1"/>
      <w:numFmt w:val="upperRoman"/>
      <w:lvlText w:val="%1."/>
      <w:lvlJc w:val="right"/>
      <w:pPr>
        <w:ind w:left="3414" w:hanging="360"/>
      </w:pPr>
    </w:lvl>
    <w:lvl w:ilvl="1" w:tplc="04160019" w:tentative="1">
      <w:start w:val="1"/>
      <w:numFmt w:val="lowerLetter"/>
      <w:lvlText w:val="%2."/>
      <w:lvlJc w:val="left"/>
      <w:pPr>
        <w:ind w:left="4134" w:hanging="360"/>
      </w:pPr>
    </w:lvl>
    <w:lvl w:ilvl="2" w:tplc="0416001B" w:tentative="1">
      <w:start w:val="1"/>
      <w:numFmt w:val="lowerRoman"/>
      <w:lvlText w:val="%3."/>
      <w:lvlJc w:val="right"/>
      <w:pPr>
        <w:ind w:left="4854" w:hanging="180"/>
      </w:pPr>
    </w:lvl>
    <w:lvl w:ilvl="3" w:tplc="0416000F" w:tentative="1">
      <w:start w:val="1"/>
      <w:numFmt w:val="decimal"/>
      <w:lvlText w:val="%4."/>
      <w:lvlJc w:val="left"/>
      <w:pPr>
        <w:ind w:left="5574" w:hanging="360"/>
      </w:pPr>
    </w:lvl>
    <w:lvl w:ilvl="4" w:tplc="04160019" w:tentative="1">
      <w:start w:val="1"/>
      <w:numFmt w:val="lowerLetter"/>
      <w:lvlText w:val="%5."/>
      <w:lvlJc w:val="left"/>
      <w:pPr>
        <w:ind w:left="6294" w:hanging="360"/>
      </w:pPr>
    </w:lvl>
    <w:lvl w:ilvl="5" w:tplc="0416001B" w:tentative="1">
      <w:start w:val="1"/>
      <w:numFmt w:val="lowerRoman"/>
      <w:lvlText w:val="%6."/>
      <w:lvlJc w:val="right"/>
      <w:pPr>
        <w:ind w:left="7014" w:hanging="180"/>
      </w:pPr>
    </w:lvl>
    <w:lvl w:ilvl="6" w:tplc="0416000F" w:tentative="1">
      <w:start w:val="1"/>
      <w:numFmt w:val="decimal"/>
      <w:lvlText w:val="%7."/>
      <w:lvlJc w:val="left"/>
      <w:pPr>
        <w:ind w:left="7734" w:hanging="360"/>
      </w:pPr>
    </w:lvl>
    <w:lvl w:ilvl="7" w:tplc="04160019" w:tentative="1">
      <w:start w:val="1"/>
      <w:numFmt w:val="lowerLetter"/>
      <w:lvlText w:val="%8."/>
      <w:lvlJc w:val="left"/>
      <w:pPr>
        <w:ind w:left="8454" w:hanging="360"/>
      </w:pPr>
    </w:lvl>
    <w:lvl w:ilvl="8" w:tplc="0416001B" w:tentative="1">
      <w:start w:val="1"/>
      <w:numFmt w:val="lowerRoman"/>
      <w:lvlText w:val="%9."/>
      <w:lvlJc w:val="right"/>
      <w:pPr>
        <w:ind w:left="9174" w:hanging="180"/>
      </w:pPr>
    </w:lvl>
  </w:abstractNum>
  <w:abstractNum w:abstractNumId="11" w15:restartNumberingAfterBreak="0">
    <w:nsid w:val="7EAA0FBF"/>
    <w:multiLevelType w:val="multilevel"/>
    <w:tmpl w:val="84B248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35930495">
    <w:abstractNumId w:val="0"/>
  </w:num>
  <w:num w:numId="2" w16cid:durableId="1458913108">
    <w:abstractNumId w:val="9"/>
  </w:num>
  <w:num w:numId="3" w16cid:durableId="792601607">
    <w:abstractNumId w:val="1"/>
  </w:num>
  <w:num w:numId="4" w16cid:durableId="1147359956">
    <w:abstractNumId w:val="5"/>
  </w:num>
  <w:num w:numId="5" w16cid:durableId="198977422">
    <w:abstractNumId w:val="11"/>
  </w:num>
  <w:num w:numId="6" w16cid:durableId="1348365403">
    <w:abstractNumId w:val="4"/>
  </w:num>
  <w:num w:numId="7" w16cid:durableId="666519107">
    <w:abstractNumId w:val="6"/>
  </w:num>
  <w:num w:numId="8" w16cid:durableId="1491555843">
    <w:abstractNumId w:val="7"/>
  </w:num>
  <w:num w:numId="9" w16cid:durableId="1645698644">
    <w:abstractNumId w:val="8"/>
  </w:num>
  <w:num w:numId="10" w16cid:durableId="458106074">
    <w:abstractNumId w:val="10"/>
  </w:num>
  <w:num w:numId="11" w16cid:durableId="1672441623">
    <w:abstractNumId w:val="3"/>
  </w:num>
  <w:num w:numId="12" w16cid:durableId="8563842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278"/>
    <w:rsid w:val="001A7419"/>
    <w:rsid w:val="001F1278"/>
    <w:rsid w:val="001F3261"/>
    <w:rsid w:val="0032287B"/>
    <w:rsid w:val="0040245D"/>
    <w:rsid w:val="00482CAF"/>
    <w:rsid w:val="00570D99"/>
    <w:rsid w:val="00595BF4"/>
    <w:rsid w:val="005B5394"/>
    <w:rsid w:val="005E7047"/>
    <w:rsid w:val="00622229"/>
    <w:rsid w:val="00674A23"/>
    <w:rsid w:val="00692B6B"/>
    <w:rsid w:val="00723BD6"/>
    <w:rsid w:val="007F09AB"/>
    <w:rsid w:val="008C61A5"/>
    <w:rsid w:val="0098281C"/>
    <w:rsid w:val="00A01EA6"/>
    <w:rsid w:val="00A1096B"/>
    <w:rsid w:val="00B03134"/>
    <w:rsid w:val="00B3105E"/>
    <w:rsid w:val="00B52D71"/>
    <w:rsid w:val="00BB7D7C"/>
    <w:rsid w:val="00C81B06"/>
    <w:rsid w:val="00DA3AF3"/>
    <w:rsid w:val="00DB5458"/>
    <w:rsid w:val="00DE1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BD7D6"/>
  <w15:docId w15:val="{C2AF3C3E-78CF-43DC-8057-19D00683B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unhideWhenUsed/>
    <w:rsid w:val="00A80A95"/>
    <w:pPr>
      <w:tabs>
        <w:tab w:val="center" w:pos="4252"/>
        <w:tab w:val="right" w:pos="8504"/>
      </w:tabs>
      <w:spacing w:line="240" w:lineRule="auto"/>
    </w:pPr>
  </w:style>
  <w:style w:type="character" w:customStyle="1" w:styleId="CabealhoChar">
    <w:name w:val="Cabeçalho Char"/>
    <w:basedOn w:val="Fontepargpadro"/>
    <w:link w:val="Cabealho"/>
    <w:uiPriority w:val="99"/>
    <w:rsid w:val="00A80A95"/>
  </w:style>
  <w:style w:type="paragraph" w:styleId="Rodap">
    <w:name w:val="footer"/>
    <w:basedOn w:val="Normal"/>
    <w:link w:val="RodapChar"/>
    <w:uiPriority w:val="99"/>
    <w:unhideWhenUsed/>
    <w:rsid w:val="00A80A95"/>
    <w:pPr>
      <w:tabs>
        <w:tab w:val="center" w:pos="4252"/>
        <w:tab w:val="right" w:pos="8504"/>
      </w:tabs>
      <w:spacing w:line="240" w:lineRule="auto"/>
    </w:pPr>
  </w:style>
  <w:style w:type="character" w:customStyle="1" w:styleId="RodapChar">
    <w:name w:val="Rodapé Char"/>
    <w:basedOn w:val="Fontepargpadro"/>
    <w:link w:val="Rodap"/>
    <w:uiPriority w:val="99"/>
    <w:rsid w:val="00A80A95"/>
  </w:style>
  <w:style w:type="paragraph" w:styleId="PargrafodaLista">
    <w:name w:val="List Paragraph"/>
    <w:aliases w:val="Paragrafo,Lista Colorida - Ênfase 11,Parágrafo da Lista11,Subtítulo Projeto Básico,Parágrafo da Lista111,List Paragraph1,SheParágrafo da Lista,Lista Paragrafo em Preto,Texto,Parágrafo da Lista2,List Paragraph Char Char Char,Apêndice"/>
    <w:basedOn w:val="Normal"/>
    <w:link w:val="PargrafodaListaChar"/>
    <w:uiPriority w:val="34"/>
    <w:qFormat/>
    <w:rsid w:val="00E0281B"/>
    <w:pPr>
      <w:ind w:left="720"/>
      <w:contextualSpacing/>
    </w:pPr>
  </w:style>
  <w:style w:type="character" w:customStyle="1" w:styleId="PargrafodaListaChar">
    <w:name w:val="Parágrafo da Lista Char"/>
    <w:aliases w:val="Paragrafo Char,Lista Colorida - Ênfase 11 Char,Parágrafo da Lista11 Char,Subtítulo Projeto Básico Char,Parágrafo da Lista111 Char,List Paragraph1 Char,SheParágrafo da Lista Char,Lista Paragrafo em Preto Char,Texto Char"/>
    <w:link w:val="PargrafodaLista"/>
    <w:uiPriority w:val="34"/>
    <w:qFormat/>
    <w:locked/>
    <w:rsid w:val="00812AA1"/>
  </w:style>
  <w:style w:type="table" w:styleId="Tabelacomgrade">
    <w:name w:val="Table Grid"/>
    <w:basedOn w:val="Tabelanormal"/>
    <w:uiPriority w:val="39"/>
    <w:rsid w:val="004101B3"/>
    <w:pPr>
      <w:spacing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semiHidden/>
    <w:unhideWhenUsed/>
    <w:qFormat/>
    <w:rsid w:val="00B85B8D"/>
    <w:pPr>
      <w:spacing w:after="160" w:line="240" w:lineRule="auto"/>
    </w:pPr>
    <w:rPr>
      <w:rFonts w:ascii="Calibri" w:eastAsia="Calibri" w:hAnsi="Calibri" w:cs="Times New Roman"/>
      <w:sz w:val="20"/>
      <w:szCs w:val="20"/>
      <w:lang w:eastAsia="en-US"/>
    </w:rPr>
  </w:style>
  <w:style w:type="character" w:customStyle="1" w:styleId="TextodecomentrioChar">
    <w:name w:val="Texto de comentário Char"/>
    <w:basedOn w:val="Fontepargpadro"/>
    <w:link w:val="Textodecomentrio"/>
    <w:uiPriority w:val="99"/>
    <w:semiHidden/>
    <w:qFormat/>
    <w:rsid w:val="00B85B8D"/>
    <w:rPr>
      <w:rFonts w:ascii="Calibri" w:eastAsia="Calibri" w:hAnsi="Calibri" w:cs="Times New Roman"/>
      <w:sz w:val="20"/>
      <w:szCs w:val="20"/>
      <w:lang w:eastAsia="en-US"/>
    </w:rPr>
  </w:style>
  <w:style w:type="paragraph" w:customStyle="1" w:styleId="Nivel2">
    <w:name w:val="Nivel 2"/>
    <w:qFormat/>
    <w:rsid w:val="00B85B8D"/>
    <w:pPr>
      <w:numPr>
        <w:ilvl w:val="1"/>
        <w:numId w:val="7"/>
      </w:numPr>
      <w:spacing w:before="120" w:after="120"/>
      <w:jc w:val="both"/>
    </w:pPr>
    <w:rPr>
      <w:rFonts w:ascii="Ecofont_Spranq_eco_Sans" w:eastAsia="Arial Unicode MS" w:hAnsi="Ecofont_Spranq_eco_Sans" w:cs="Times New Roman"/>
      <w:sz w:val="20"/>
      <w:szCs w:val="20"/>
    </w:rPr>
  </w:style>
  <w:style w:type="paragraph" w:customStyle="1" w:styleId="Nivel1">
    <w:name w:val="Nivel 1"/>
    <w:basedOn w:val="Nivel2"/>
    <w:next w:val="Nivel2"/>
    <w:uiPriority w:val="99"/>
    <w:rsid w:val="00B85B8D"/>
    <w:pPr>
      <w:numPr>
        <w:ilvl w:val="0"/>
      </w:numPr>
    </w:pPr>
    <w:rPr>
      <w:rFonts w:cs="Arial"/>
      <w:b/>
    </w:rPr>
  </w:style>
  <w:style w:type="paragraph" w:customStyle="1" w:styleId="Nivel3">
    <w:name w:val="Nivel 3"/>
    <w:basedOn w:val="Nivel2"/>
    <w:qFormat/>
    <w:rsid w:val="00B85B8D"/>
    <w:pPr>
      <w:numPr>
        <w:ilvl w:val="2"/>
      </w:numPr>
    </w:pPr>
    <w:rPr>
      <w:rFonts w:cs="Arial"/>
      <w:color w:val="000000"/>
    </w:rPr>
  </w:style>
  <w:style w:type="paragraph" w:customStyle="1" w:styleId="Nivel4">
    <w:name w:val="Nivel 4"/>
    <w:basedOn w:val="Nivel3"/>
    <w:uiPriority w:val="99"/>
    <w:qFormat/>
    <w:rsid w:val="00B85B8D"/>
    <w:pPr>
      <w:numPr>
        <w:ilvl w:val="3"/>
      </w:numPr>
    </w:pPr>
    <w:rPr>
      <w:color w:val="auto"/>
    </w:rPr>
  </w:style>
  <w:style w:type="paragraph" w:customStyle="1" w:styleId="Nivel5">
    <w:name w:val="Nivel 5"/>
    <w:basedOn w:val="Nivel4"/>
    <w:qFormat/>
    <w:rsid w:val="00B85B8D"/>
    <w:pPr>
      <w:numPr>
        <w:ilvl w:val="4"/>
      </w:numPr>
    </w:pPr>
  </w:style>
  <w:style w:type="character" w:customStyle="1" w:styleId="Nvel2-OpcionalChar">
    <w:name w:val="Nível 2-Opcional Char"/>
    <w:basedOn w:val="Fontepargpadro"/>
    <w:link w:val="Nvel2-Opcional"/>
    <w:locked/>
    <w:rsid w:val="00B85B8D"/>
    <w:rPr>
      <w:i/>
      <w:iCs/>
      <w:color w:val="FF0000"/>
    </w:rPr>
  </w:style>
  <w:style w:type="paragraph" w:customStyle="1" w:styleId="Nvel2-Opcional">
    <w:name w:val="Nível 2-Opcional"/>
    <w:basedOn w:val="Normal"/>
    <w:link w:val="Nvel2-OpcionalChar"/>
    <w:qFormat/>
    <w:rsid w:val="00B85B8D"/>
    <w:pPr>
      <w:spacing w:before="120" w:after="120"/>
      <w:jc w:val="both"/>
    </w:pPr>
    <w:rPr>
      <w:i/>
      <w:iCs/>
      <w:color w:val="FF0000"/>
    </w:rPr>
  </w:style>
  <w:style w:type="character" w:customStyle="1" w:styleId="Nvel3-OpcionalChar">
    <w:name w:val="Nível 3-Opcional Char"/>
    <w:basedOn w:val="Fontepargpadro"/>
    <w:link w:val="Nvel3-Opcional"/>
    <w:locked/>
    <w:rsid w:val="00B85B8D"/>
    <w:rPr>
      <w:rFonts w:ascii="Ecofont_Spranq_eco_Sans" w:eastAsia="Arial Unicode MS" w:hAnsi="Ecofont_Spranq_eco_Sans"/>
      <w:i/>
      <w:color w:val="FF0000"/>
    </w:rPr>
  </w:style>
  <w:style w:type="paragraph" w:customStyle="1" w:styleId="Nvel3-Opcional">
    <w:name w:val="Nível 3-Opcional"/>
    <w:basedOn w:val="Nivel3"/>
    <w:link w:val="Nvel3-OpcionalChar"/>
    <w:qFormat/>
    <w:rsid w:val="00B85B8D"/>
    <w:pPr>
      <w:ind w:left="284" w:firstLine="0"/>
    </w:pPr>
    <w:rPr>
      <w:i/>
      <w:color w:val="FF0000"/>
      <w:sz w:val="22"/>
      <w:szCs w:val="22"/>
    </w:rPr>
  </w:style>
  <w:style w:type="character" w:styleId="Refdecomentrio">
    <w:name w:val="annotation reference"/>
    <w:basedOn w:val="Fontepargpadro"/>
    <w:uiPriority w:val="99"/>
    <w:semiHidden/>
    <w:unhideWhenUsed/>
    <w:qFormat/>
    <w:rsid w:val="00B85B8D"/>
    <w:rPr>
      <w:sz w:val="16"/>
      <w:szCs w:val="16"/>
    </w:rPr>
  </w:style>
  <w:style w:type="character" w:customStyle="1" w:styleId="Normal-TJTRChar">
    <w:name w:val="Normal-TJTR Char"/>
    <w:basedOn w:val="Fontepargpadro"/>
    <w:link w:val="Normal-TJTR"/>
    <w:locked/>
    <w:rsid w:val="00806B08"/>
    <w:rPr>
      <w:lang w:eastAsia="en-US"/>
    </w:rPr>
  </w:style>
  <w:style w:type="paragraph" w:customStyle="1" w:styleId="Normal-TJTR">
    <w:name w:val="Normal-TJTR"/>
    <w:basedOn w:val="Normal"/>
    <w:link w:val="Normal-TJTRChar"/>
    <w:qFormat/>
    <w:rsid w:val="00806B08"/>
    <w:pPr>
      <w:spacing w:after="160" w:line="256" w:lineRule="auto"/>
      <w:jc w:val="both"/>
    </w:pPr>
    <w:rPr>
      <w:lang w:eastAsia="en-US"/>
    </w:rPr>
  </w:style>
  <w:style w:type="paragraph" w:customStyle="1" w:styleId="Default">
    <w:name w:val="Default"/>
    <w:rsid w:val="00782F46"/>
    <w:pPr>
      <w:autoSpaceDE w:val="0"/>
      <w:autoSpaceDN w:val="0"/>
      <w:adjustRightInd w:val="0"/>
      <w:spacing w:line="240" w:lineRule="auto"/>
    </w:pPr>
    <w:rPr>
      <w:rFonts w:ascii="Calibri" w:eastAsia="Calibri" w:hAnsi="Calibri" w:cs="Calibri"/>
      <w:color w:val="000000"/>
      <w:sz w:val="24"/>
      <w:szCs w:val="24"/>
    </w:rPr>
  </w:style>
  <w:style w:type="character" w:styleId="Hyperlink">
    <w:name w:val="Hyperlink"/>
    <w:basedOn w:val="Fontepargpadro"/>
    <w:uiPriority w:val="99"/>
    <w:unhideWhenUsed/>
    <w:rsid w:val="000F666D"/>
    <w:rPr>
      <w:color w:val="0000FF" w:themeColor="hyperlink"/>
      <w:u w:val="single"/>
    </w:rPr>
  </w:style>
  <w:style w:type="character" w:customStyle="1" w:styleId="normalchar1">
    <w:name w:val="normal__char1"/>
    <w:rsid w:val="00701820"/>
    <w:rPr>
      <w:rFonts w:ascii="Arial" w:hAnsi="Arial" w:cs="Arial" w:hint="default"/>
      <w:strike w:val="0"/>
      <w:dstrike w:val="0"/>
      <w:sz w:val="24"/>
      <w:szCs w:val="24"/>
      <w:u w:val="none"/>
      <w:effect w:val="none"/>
    </w:rPr>
  </w:style>
  <w:style w:type="character" w:styleId="MenoPendente">
    <w:name w:val="Unresolved Mention"/>
    <w:basedOn w:val="Fontepargpadro"/>
    <w:uiPriority w:val="99"/>
    <w:semiHidden/>
    <w:unhideWhenUsed/>
    <w:rsid w:val="000A796D"/>
    <w:rPr>
      <w:color w:val="605E5C"/>
      <w:shd w:val="clear" w:color="auto" w:fill="E1DFDD"/>
    </w:rPr>
  </w:style>
  <w:style w:type="paragraph" w:styleId="Reviso">
    <w:name w:val="Revision"/>
    <w:hidden/>
    <w:uiPriority w:val="99"/>
    <w:semiHidden/>
    <w:rsid w:val="009A0F4F"/>
    <w:pPr>
      <w:spacing w:line="240" w:lineRule="auto"/>
    </w:p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0">
    <w:basedOn w:val="TableNormal0"/>
    <w:pPr>
      <w:spacing w:line="240" w:lineRule="auto"/>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1">
    <w:basedOn w:val="TableNormal0"/>
    <w:pPr>
      <w:spacing w:line="240" w:lineRule="auto"/>
    </w:pPr>
    <w:rPr>
      <w:rFonts w:ascii="Calibri" w:eastAsia="Calibri" w:hAnsi="Calibri" w:cs="Calibri"/>
      <w:sz w:val="20"/>
      <w:szCs w:val="20"/>
    </w:rPr>
    <w:tblPr>
      <w:tblStyleRowBandSize w:val="1"/>
      <w:tblStyleColBandSize w:val="1"/>
      <w:tblCellMar>
        <w:left w:w="108" w:type="dxa"/>
        <w:right w:w="108" w:type="dxa"/>
      </w:tblCellMar>
    </w:tblPr>
  </w:style>
  <w:style w:type="table" w:customStyle="1" w:styleId="a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educacao@arraial.rj.gov.br" TargetMode="External"/><Relationship Id="rId13" Type="http://schemas.openxmlformats.org/officeDocument/2006/relationships/hyperlink" Target="https://www.planalto.gov.br/ccivil_03/_ato2019-2022/2021/lei/l14133.htm" TargetMode="External"/><Relationship Id="rId18"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s://www.planalto.gov.br/ccivil_03/_ato2019-2022/2021/lei/l14133.htm" TargetMode="External"/><Relationship Id="rId20"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9-2022/2021/lei/l14133.htm"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_ato2019-2022/2021/lei/l14133.htm" TargetMode="External"/><Relationship Id="rId23" Type="http://schemas.openxmlformats.org/officeDocument/2006/relationships/fontTable" Target="fontTable.xml"/><Relationship Id="rId10" Type="http://schemas.openxmlformats.org/officeDocument/2006/relationships/hyperlink" Target="mailto:adm.educacao@arraial.rj.gov.br" TargetMode="External"/><Relationship Id="rId19"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portaltransparencia.gov.br/sancoes/cnep" TargetMode="External"/><Relationship Id="rId14" Type="http://schemas.openxmlformats.org/officeDocument/2006/relationships/hyperlink" Target="https://www.planalto.gov.br/ccivil_03/_ato2019-2022/2021/lei/l14133.htm"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23HlxLbOfqeCpF/Qn1MME3a6hA==">CgMxLjAyD2lkLjV1cXIyNXlkc3kzOTIPaWQudjV2MGxmNGs5Mm44Mg9pZC4yNTJxZnpjd2F1ZDIyDmguYXd1cTNsdWVlNWhvMg5oLjM0bWVjaHFuMDlnZzIOaC5vcnM1N2twMTZoNms4AHIhMTBjdG05OF9EZzRHMzViamtZNS1ra1RRYUp2dkFpc0dV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41</Pages>
  <Words>12506</Words>
  <Characters>72097</Characters>
  <Application>Microsoft Office Word</Application>
  <DocSecurity>0</DocSecurity>
  <Lines>1296</Lines>
  <Paragraphs>457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 07</dc:creator>
  <cp:lastModifiedBy>Diego Nepomuceno</cp:lastModifiedBy>
  <cp:revision>4</cp:revision>
  <cp:lastPrinted>2026-02-12T16:08:00Z</cp:lastPrinted>
  <dcterms:created xsi:type="dcterms:W3CDTF">2026-02-26T20:31:00Z</dcterms:created>
  <dcterms:modified xsi:type="dcterms:W3CDTF">2026-02-26T20:34:00Z</dcterms:modified>
</cp:coreProperties>
</file>